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BE2C20" w14:textId="56B33C5A" w:rsidR="00850CD6" w:rsidRPr="00E36AB0" w:rsidRDefault="008A0066" w:rsidP="00E36AB0">
      <w:pPr>
        <w:pStyle w:val="Title"/>
      </w:pPr>
      <w:r w:rsidRPr="00E36AB0">
        <w:t xml:space="preserve">WIOA </w:t>
      </w:r>
      <w:r w:rsidR="00850CD6" w:rsidRPr="00E36AB0">
        <w:t>C</w:t>
      </w:r>
      <w:r w:rsidRPr="00E36AB0">
        <w:t xml:space="preserve">ommon </w:t>
      </w:r>
      <w:r w:rsidR="00850CD6" w:rsidRPr="00E36AB0">
        <w:t>P</w:t>
      </w:r>
      <w:r w:rsidRPr="00E36AB0">
        <w:t xml:space="preserve">erformance </w:t>
      </w:r>
      <w:r w:rsidR="00850CD6" w:rsidRPr="00E36AB0">
        <w:t>M</w:t>
      </w:r>
      <w:r w:rsidRPr="00E36AB0">
        <w:t>easures</w:t>
      </w:r>
    </w:p>
    <w:p w14:paraId="351F260F" w14:textId="558834F4" w:rsidR="00263111" w:rsidRPr="00E36AB0" w:rsidRDefault="00263111" w:rsidP="00263111">
      <w:pPr>
        <w:pStyle w:val="Heading1"/>
        <w:jc w:val="center"/>
        <w:rPr>
          <w:i w:val="0"/>
        </w:rPr>
      </w:pPr>
      <w:r w:rsidRPr="00E36AB0">
        <w:rPr>
          <w:i w:val="0"/>
        </w:rPr>
        <w:t>C</w:t>
      </w:r>
      <w:r w:rsidR="00E36AB0">
        <w:rPr>
          <w:i w:val="0"/>
        </w:rPr>
        <w:t>SAVR Leadership Forum</w:t>
      </w:r>
      <w:r w:rsidR="00E36AB0">
        <w:rPr>
          <w:i w:val="0"/>
        </w:rPr>
        <w:br/>
      </w:r>
      <w:r w:rsidRPr="00E36AB0">
        <w:rPr>
          <w:i w:val="0"/>
        </w:rPr>
        <w:t>April 7, 2019</w:t>
      </w:r>
    </w:p>
    <w:p w14:paraId="266EFA07" w14:textId="00AA6EFA" w:rsidR="002D297F" w:rsidRPr="002D297F" w:rsidRDefault="00CE32C5" w:rsidP="002D297F">
      <w:pPr>
        <w:pStyle w:val="ListParagraph"/>
        <w:numPr>
          <w:ilvl w:val="0"/>
          <w:numId w:val="4"/>
        </w:numPr>
        <w:rPr>
          <w:b/>
          <w:sz w:val="24"/>
          <w:szCs w:val="24"/>
        </w:rPr>
      </w:pPr>
      <w:r w:rsidRPr="005A52DA">
        <w:rPr>
          <w:b/>
          <w:sz w:val="24"/>
          <w:szCs w:val="24"/>
        </w:rPr>
        <w:t xml:space="preserve">When will </w:t>
      </w:r>
      <w:r>
        <w:rPr>
          <w:b/>
          <w:sz w:val="24"/>
          <w:szCs w:val="24"/>
        </w:rPr>
        <w:t>SVRAs and the Rehabilitation Services Administration (RSA)</w:t>
      </w:r>
      <w:r w:rsidRPr="005A52DA">
        <w:rPr>
          <w:b/>
          <w:sz w:val="24"/>
          <w:szCs w:val="24"/>
        </w:rPr>
        <w:t xml:space="preserve"> negotiate </w:t>
      </w:r>
      <w:r>
        <w:rPr>
          <w:b/>
          <w:sz w:val="24"/>
          <w:szCs w:val="24"/>
        </w:rPr>
        <w:t>expected levels of</w:t>
      </w:r>
      <w:r w:rsidRPr="005A52DA">
        <w:rPr>
          <w:b/>
          <w:sz w:val="24"/>
          <w:szCs w:val="24"/>
        </w:rPr>
        <w:t xml:space="preserve"> performance)?</w:t>
      </w:r>
    </w:p>
    <w:p w14:paraId="036EC67C" w14:textId="1C8526EF" w:rsidR="00CE32C5" w:rsidRDefault="00CE32C5" w:rsidP="002D297F">
      <w:pPr>
        <w:pStyle w:val="ListParagraph"/>
        <w:ind w:left="360"/>
        <w:rPr>
          <w:sz w:val="24"/>
          <w:szCs w:val="24"/>
        </w:rPr>
      </w:pPr>
      <w:r w:rsidRPr="002D297F">
        <w:rPr>
          <w:sz w:val="24"/>
          <w:szCs w:val="24"/>
        </w:rPr>
        <w:t>The U.S. Departments of Education and Labor plan to issue joint guidance on negotiations and sanctions related to WIOA performance accountability. SVRAs will negotiate expected levels of performance with RSA directly. These targets will likely be set for a two-year period. For example, targets set for PY 2020 (July 1, 2020</w:t>
      </w:r>
      <w:r w:rsidR="00D7079D">
        <w:rPr>
          <w:sz w:val="24"/>
          <w:szCs w:val="24"/>
        </w:rPr>
        <w:t>–</w:t>
      </w:r>
      <w:r w:rsidRPr="002D297F">
        <w:rPr>
          <w:sz w:val="24"/>
          <w:szCs w:val="24"/>
        </w:rPr>
        <w:t>June 30, 2021) will also be used for PY 2021 (July 1, 2021</w:t>
      </w:r>
      <w:r w:rsidR="00D7079D">
        <w:rPr>
          <w:sz w:val="24"/>
          <w:szCs w:val="24"/>
        </w:rPr>
        <w:t>–</w:t>
      </w:r>
      <w:r w:rsidRPr="002D297F">
        <w:rPr>
          <w:sz w:val="24"/>
          <w:szCs w:val="24"/>
        </w:rPr>
        <w:t>June 30, 2022). New targets would be set for PY 2022 and PY 2023.</w:t>
      </w:r>
    </w:p>
    <w:p w14:paraId="1FA488ED" w14:textId="77777777" w:rsidR="002D297F" w:rsidRPr="002D297F" w:rsidRDefault="002D297F" w:rsidP="002D297F">
      <w:pPr>
        <w:pStyle w:val="ListParagraph"/>
        <w:ind w:left="360"/>
        <w:rPr>
          <w:b/>
          <w:sz w:val="16"/>
          <w:szCs w:val="16"/>
        </w:rPr>
      </w:pPr>
    </w:p>
    <w:p w14:paraId="1CA52E45" w14:textId="3A4EFDE3" w:rsidR="00C00454" w:rsidRPr="00CE32C5" w:rsidRDefault="00C00454" w:rsidP="00CE32C5">
      <w:pPr>
        <w:pStyle w:val="ListParagraph"/>
        <w:numPr>
          <w:ilvl w:val="0"/>
          <w:numId w:val="4"/>
        </w:numPr>
        <w:spacing w:after="0"/>
        <w:rPr>
          <w:sz w:val="24"/>
          <w:szCs w:val="24"/>
        </w:rPr>
      </w:pPr>
      <w:r w:rsidRPr="008B5BDF">
        <w:rPr>
          <w:b/>
          <w:sz w:val="24"/>
          <w:szCs w:val="24"/>
        </w:rPr>
        <w:t xml:space="preserve">When will SVRAs have the ability to report all of the information for each of the WIOA performance measures? </w:t>
      </w:r>
    </w:p>
    <w:p w14:paraId="07ECCDF5" w14:textId="3A9009A7" w:rsidR="00C00454" w:rsidRDefault="00C00454" w:rsidP="002D297F">
      <w:pPr>
        <w:pStyle w:val="ListParagraph"/>
        <w:spacing w:before="100" w:beforeAutospacing="1" w:after="120"/>
        <w:ind w:left="360"/>
        <w:rPr>
          <w:sz w:val="24"/>
          <w:szCs w:val="24"/>
        </w:rPr>
      </w:pPr>
      <w:r w:rsidRPr="008B5BDF">
        <w:rPr>
          <w:sz w:val="24"/>
          <w:szCs w:val="24"/>
        </w:rPr>
        <w:t>Because SVRAs began collecting and reporting WIOA information on the RSA-911 beginning with PY 2017, it will require eight quarters of reporting</w:t>
      </w:r>
      <w:r w:rsidR="00D7079D">
        <w:rPr>
          <w:sz w:val="24"/>
          <w:szCs w:val="24"/>
        </w:rPr>
        <w:t xml:space="preserve"> —</w:t>
      </w:r>
      <w:r w:rsidRPr="008B5BDF">
        <w:rPr>
          <w:sz w:val="24"/>
          <w:szCs w:val="24"/>
        </w:rPr>
        <w:t xml:space="preserve"> or two full PYs</w:t>
      </w:r>
      <w:r w:rsidR="00D7079D">
        <w:rPr>
          <w:sz w:val="24"/>
          <w:szCs w:val="24"/>
        </w:rPr>
        <w:t xml:space="preserve"> — </w:t>
      </w:r>
      <w:r w:rsidRPr="008B5BDF">
        <w:rPr>
          <w:sz w:val="24"/>
          <w:szCs w:val="24"/>
        </w:rPr>
        <w:t xml:space="preserve"> before SVRAs have all of the information to completely report on the performance measures in PY 2019. Please refer to the following example:</w:t>
      </w:r>
    </w:p>
    <w:p w14:paraId="22A5EF05" w14:textId="77777777" w:rsidR="00C00454" w:rsidRPr="008B5BDF" w:rsidRDefault="00C00454" w:rsidP="006538A9">
      <w:pPr>
        <w:pStyle w:val="ListParagraph"/>
        <w:spacing w:before="100" w:beforeAutospacing="1" w:after="0"/>
        <w:rPr>
          <w:sz w:val="24"/>
          <w:szCs w:val="24"/>
        </w:rPr>
      </w:pPr>
    </w:p>
    <w:tbl>
      <w:tblPr>
        <w:tblStyle w:val="GridTable5Dark-Accent61"/>
        <w:tblW w:w="108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w:tblDescription w:val="Peformance Indicator and Annual Report Program Year &amp; Report Delivery Date table. PY 2017-2019; % of data available of report delivery date"/>
      </w:tblPr>
      <w:tblGrid>
        <w:gridCol w:w="523"/>
        <w:gridCol w:w="2437"/>
        <w:gridCol w:w="1980"/>
        <w:gridCol w:w="1980"/>
        <w:gridCol w:w="1980"/>
        <w:gridCol w:w="1980"/>
      </w:tblGrid>
      <w:tr w:rsidR="00C00454" w:rsidRPr="006D028D" w14:paraId="2A21E136" w14:textId="77777777" w:rsidTr="004E7F1E">
        <w:trPr>
          <w:cnfStyle w:val="100000000000" w:firstRow="1" w:lastRow="0" w:firstColumn="0" w:lastColumn="0" w:oddVBand="0" w:evenVBand="0" w:oddHBand="0" w:evenHBand="0" w:firstRowFirstColumn="0" w:firstRowLastColumn="0" w:lastRowFirstColumn="0" w:lastRowLastColumn="0"/>
          <w:trHeight w:val="449"/>
          <w:tblHeader/>
        </w:trPr>
        <w:tc>
          <w:tcPr>
            <w:cnfStyle w:val="001000000000" w:firstRow="0" w:lastRow="0" w:firstColumn="1" w:lastColumn="0" w:oddVBand="0" w:evenVBand="0" w:oddHBand="0" w:evenHBand="0" w:firstRowFirstColumn="0" w:firstRowLastColumn="0" w:lastRowFirstColumn="0" w:lastRowLastColumn="0"/>
            <w:tcW w:w="523" w:type="dxa"/>
            <w:tcBorders>
              <w:top w:val="single" w:sz="4" w:space="0" w:color="auto"/>
              <w:left w:val="single" w:sz="4" w:space="0" w:color="auto"/>
              <w:bottom w:val="nil"/>
            </w:tcBorders>
            <w:noWrap/>
            <w:hideMark/>
          </w:tcPr>
          <w:p w14:paraId="52CF6370" w14:textId="77777777" w:rsidR="00C00454" w:rsidRPr="006D028D" w:rsidRDefault="00C00454" w:rsidP="007E14CD">
            <w:pPr>
              <w:rPr>
                <w:rFonts w:ascii="Times New Roman" w:eastAsia="Times New Roman" w:hAnsi="Times New Roman" w:cs="Times New Roman"/>
                <w:sz w:val="24"/>
                <w:szCs w:val="24"/>
              </w:rPr>
            </w:pPr>
          </w:p>
        </w:tc>
        <w:tc>
          <w:tcPr>
            <w:tcW w:w="2437" w:type="dxa"/>
            <w:tcBorders>
              <w:top w:val="single" w:sz="4" w:space="0" w:color="auto"/>
              <w:bottom w:val="single" w:sz="4" w:space="0" w:color="auto"/>
            </w:tcBorders>
            <w:noWrap/>
            <w:hideMark/>
          </w:tcPr>
          <w:p w14:paraId="7926AA9B" w14:textId="77777777" w:rsidR="00C00454" w:rsidRPr="006D028D" w:rsidRDefault="00C00454" w:rsidP="007E14C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5940" w:type="dxa"/>
            <w:gridSpan w:val="3"/>
            <w:tcBorders>
              <w:top w:val="single" w:sz="4" w:space="0" w:color="auto"/>
              <w:bottom w:val="nil"/>
            </w:tcBorders>
            <w:vAlign w:val="center"/>
            <w:hideMark/>
          </w:tcPr>
          <w:p w14:paraId="5B6C043A" w14:textId="77777777" w:rsidR="00C00454" w:rsidRPr="006D028D" w:rsidRDefault="00C00454" w:rsidP="007E14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Program Year Performance Data</w:t>
            </w:r>
          </w:p>
        </w:tc>
        <w:tc>
          <w:tcPr>
            <w:tcW w:w="1980" w:type="dxa"/>
            <w:tcBorders>
              <w:top w:val="single" w:sz="4" w:space="0" w:color="auto"/>
              <w:bottom w:val="single" w:sz="4" w:space="0" w:color="auto"/>
              <w:right w:val="single" w:sz="4" w:space="0" w:color="auto"/>
            </w:tcBorders>
          </w:tcPr>
          <w:p w14:paraId="59EB1217" w14:textId="77777777" w:rsidR="00C00454" w:rsidRDefault="00C00454" w:rsidP="007E14C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p>
        </w:tc>
      </w:tr>
      <w:tr w:rsidR="00C00454" w:rsidRPr="006D028D" w14:paraId="5CE5CDFA" w14:textId="77777777" w:rsidTr="004E7F1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23" w:type="dxa"/>
            <w:vMerge w:val="restart"/>
            <w:tcBorders>
              <w:top w:val="nil"/>
              <w:left w:val="single" w:sz="4" w:space="0" w:color="auto"/>
              <w:bottom w:val="single" w:sz="4" w:space="0" w:color="auto"/>
            </w:tcBorders>
            <w:noWrap/>
            <w:textDirection w:val="btLr"/>
            <w:hideMark/>
          </w:tcPr>
          <w:p w14:paraId="70C99AD3" w14:textId="77777777" w:rsidR="00C00454" w:rsidRPr="006D028D" w:rsidRDefault="00C00454" w:rsidP="007E14CD">
            <w:pPr>
              <w:ind w:left="113" w:right="113"/>
              <w:jc w:val="center"/>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Performance Indicators</w:t>
            </w:r>
          </w:p>
        </w:tc>
        <w:tc>
          <w:tcPr>
            <w:tcW w:w="2437" w:type="dxa"/>
            <w:vMerge w:val="restart"/>
            <w:tcBorders>
              <w:top w:val="single" w:sz="4" w:space="0" w:color="auto"/>
            </w:tcBorders>
            <w:noWrap/>
            <w:hideMark/>
          </w:tcPr>
          <w:p w14:paraId="01457210" w14:textId="77777777" w:rsidR="00C00454" w:rsidRPr="006D028D" w:rsidRDefault="00C00454" w:rsidP="007E14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1980" w:type="dxa"/>
            <w:tcBorders>
              <w:top w:val="single" w:sz="4" w:space="0" w:color="auto"/>
            </w:tcBorders>
            <w:noWrap/>
            <w:hideMark/>
          </w:tcPr>
          <w:p w14:paraId="60358862"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PY</w:t>
            </w:r>
            <w:r>
              <w:rPr>
                <w:rFonts w:ascii="Calibri" w:eastAsia="Times New Roman" w:hAnsi="Calibri" w:cs="Times New Roman"/>
                <w:color w:val="000000"/>
                <w:sz w:val="24"/>
                <w:szCs w:val="24"/>
              </w:rPr>
              <w:t xml:space="preserve"> </w:t>
            </w:r>
            <w:r w:rsidRPr="006D028D">
              <w:rPr>
                <w:rFonts w:ascii="Calibri" w:eastAsia="Times New Roman" w:hAnsi="Calibri" w:cs="Times New Roman"/>
                <w:color w:val="000000"/>
                <w:sz w:val="24"/>
                <w:szCs w:val="24"/>
              </w:rPr>
              <w:t>2017</w:t>
            </w:r>
          </w:p>
        </w:tc>
        <w:tc>
          <w:tcPr>
            <w:tcW w:w="1980" w:type="dxa"/>
            <w:tcBorders>
              <w:top w:val="single" w:sz="4" w:space="0" w:color="auto"/>
            </w:tcBorders>
            <w:noWrap/>
            <w:hideMark/>
          </w:tcPr>
          <w:p w14:paraId="00BDF6C4"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PY</w:t>
            </w:r>
            <w:r>
              <w:rPr>
                <w:rFonts w:ascii="Calibri" w:eastAsia="Times New Roman" w:hAnsi="Calibri" w:cs="Times New Roman"/>
                <w:color w:val="000000"/>
                <w:sz w:val="24"/>
                <w:szCs w:val="24"/>
              </w:rPr>
              <w:t xml:space="preserve"> </w:t>
            </w:r>
            <w:r w:rsidRPr="006D028D">
              <w:rPr>
                <w:rFonts w:ascii="Calibri" w:eastAsia="Times New Roman" w:hAnsi="Calibri" w:cs="Times New Roman"/>
                <w:color w:val="000000"/>
                <w:sz w:val="24"/>
                <w:szCs w:val="24"/>
              </w:rPr>
              <w:t>2018</w:t>
            </w:r>
          </w:p>
        </w:tc>
        <w:tc>
          <w:tcPr>
            <w:tcW w:w="1980" w:type="dxa"/>
            <w:tcBorders>
              <w:top w:val="single" w:sz="4" w:space="0" w:color="auto"/>
            </w:tcBorders>
            <w:noWrap/>
            <w:hideMark/>
          </w:tcPr>
          <w:p w14:paraId="12B07002"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PY</w:t>
            </w:r>
            <w:r>
              <w:rPr>
                <w:rFonts w:ascii="Calibri" w:eastAsia="Times New Roman" w:hAnsi="Calibri" w:cs="Times New Roman"/>
                <w:color w:val="000000"/>
                <w:sz w:val="24"/>
                <w:szCs w:val="24"/>
              </w:rPr>
              <w:t xml:space="preserve"> </w:t>
            </w:r>
            <w:r w:rsidRPr="006D028D">
              <w:rPr>
                <w:rFonts w:ascii="Calibri" w:eastAsia="Times New Roman" w:hAnsi="Calibri" w:cs="Times New Roman"/>
                <w:color w:val="000000"/>
                <w:sz w:val="24"/>
                <w:szCs w:val="24"/>
              </w:rPr>
              <w:t>2019</w:t>
            </w:r>
          </w:p>
        </w:tc>
        <w:tc>
          <w:tcPr>
            <w:tcW w:w="1980" w:type="dxa"/>
            <w:tcBorders>
              <w:top w:val="single" w:sz="4" w:space="0" w:color="auto"/>
            </w:tcBorders>
          </w:tcPr>
          <w:p w14:paraId="15C5B60D" w14:textId="77777777" w:rsidR="00C00454" w:rsidRPr="006D028D" w:rsidRDefault="00C00454" w:rsidP="007E14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PY 2020</w:t>
            </w:r>
          </w:p>
        </w:tc>
      </w:tr>
      <w:tr w:rsidR="00C00454" w:rsidRPr="006D028D" w14:paraId="4513DDF9" w14:textId="77777777" w:rsidTr="004E7F1E">
        <w:trPr>
          <w:trHeight w:val="306"/>
        </w:trPr>
        <w:tc>
          <w:tcPr>
            <w:cnfStyle w:val="001000000000" w:firstRow="0" w:lastRow="0" w:firstColumn="1" w:lastColumn="0" w:oddVBand="0" w:evenVBand="0" w:oddHBand="0" w:evenHBand="0" w:firstRowFirstColumn="0" w:firstRowLastColumn="0" w:lastRowFirstColumn="0" w:lastRowLastColumn="0"/>
            <w:tcW w:w="523" w:type="dxa"/>
            <w:vMerge/>
            <w:tcBorders>
              <w:left w:val="single" w:sz="4" w:space="0" w:color="auto"/>
              <w:bottom w:val="single" w:sz="4" w:space="0" w:color="auto"/>
            </w:tcBorders>
            <w:noWrap/>
            <w:hideMark/>
          </w:tcPr>
          <w:p w14:paraId="771BC952" w14:textId="77777777" w:rsidR="00C00454" w:rsidRPr="006D028D" w:rsidRDefault="00C00454" w:rsidP="007E14CD">
            <w:pPr>
              <w:jc w:val="center"/>
              <w:rPr>
                <w:rFonts w:ascii="Calibri" w:eastAsia="Times New Roman" w:hAnsi="Calibri" w:cs="Times New Roman"/>
                <w:color w:val="000000"/>
                <w:sz w:val="24"/>
                <w:szCs w:val="24"/>
              </w:rPr>
            </w:pPr>
          </w:p>
        </w:tc>
        <w:tc>
          <w:tcPr>
            <w:tcW w:w="2437" w:type="dxa"/>
            <w:vMerge/>
            <w:shd w:val="clear" w:color="auto" w:fill="C5E0B3" w:themeFill="accent6" w:themeFillTint="66"/>
            <w:noWrap/>
            <w:hideMark/>
          </w:tcPr>
          <w:p w14:paraId="00073AB1" w14:textId="77777777" w:rsidR="00C00454" w:rsidRPr="006D028D" w:rsidRDefault="00C00454" w:rsidP="007E14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1980" w:type="dxa"/>
            <w:shd w:val="clear" w:color="auto" w:fill="FFFFFF" w:themeFill="background1"/>
            <w:noWrap/>
            <w:vAlign w:val="center"/>
            <w:hideMark/>
          </w:tcPr>
          <w:p w14:paraId="30633AFE" w14:textId="77777777" w:rsidR="00C00454" w:rsidRPr="00942F93" w:rsidRDefault="00C00454" w:rsidP="00942F93">
            <w:pPr>
              <w:pStyle w:val="ListParagraph"/>
              <w:numPr>
                <w:ilvl w:val="0"/>
                <w:numId w:val="17"/>
              </w:numPr>
              <w:ind w:left="263" w:hanging="26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rPr>
            </w:pPr>
            <w:r w:rsidRPr="00942F93">
              <w:rPr>
                <w:rFonts w:ascii="Calibri" w:eastAsia="Times New Roman" w:hAnsi="Calibri" w:cs="Times New Roman"/>
                <w:color w:val="000000"/>
                <w:sz w:val="24"/>
                <w:szCs w:val="18"/>
              </w:rPr>
              <w:t>4</w:t>
            </w:r>
            <w:r w:rsidRPr="00942F93">
              <w:rPr>
                <w:rFonts w:ascii="Calibri" w:eastAsia="Times New Roman" w:hAnsi="Calibri" w:cs="Times New Roman"/>
                <w:color w:val="000000"/>
                <w:sz w:val="24"/>
                <w:szCs w:val="18"/>
                <w:vertAlign w:val="superscript"/>
              </w:rPr>
              <w:t>th</w:t>
            </w:r>
            <w:r w:rsidRPr="00942F93">
              <w:rPr>
                <w:rFonts w:ascii="Calibri" w:eastAsia="Times New Roman" w:hAnsi="Calibri" w:cs="Times New Roman"/>
                <w:color w:val="000000"/>
                <w:sz w:val="24"/>
                <w:szCs w:val="18"/>
              </w:rPr>
              <w:t xml:space="preserve"> Qtr. Data due Aug. 15, 2018</w:t>
            </w:r>
          </w:p>
          <w:p w14:paraId="69DAFFEF" w14:textId="75A38F4D" w:rsidR="00C00454" w:rsidRPr="00942F93" w:rsidRDefault="00C00454" w:rsidP="00942F93">
            <w:pPr>
              <w:pStyle w:val="ListParagraph"/>
              <w:numPr>
                <w:ilvl w:val="0"/>
                <w:numId w:val="17"/>
              </w:numPr>
              <w:ind w:left="263" w:hanging="26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rPr>
            </w:pPr>
            <w:r w:rsidRPr="00942F93">
              <w:rPr>
                <w:rFonts w:ascii="Calibri" w:eastAsia="Times New Roman" w:hAnsi="Calibri" w:cs="Times New Roman"/>
                <w:color w:val="000000"/>
                <w:sz w:val="24"/>
                <w:szCs w:val="18"/>
              </w:rPr>
              <w:t>Annual Report due Oct</w:t>
            </w:r>
            <w:r w:rsidR="003255BF">
              <w:rPr>
                <w:rFonts w:ascii="Calibri" w:eastAsia="Times New Roman" w:hAnsi="Calibri" w:cs="Times New Roman"/>
                <w:color w:val="000000"/>
                <w:sz w:val="24"/>
                <w:szCs w:val="18"/>
              </w:rPr>
              <w:t>.</w:t>
            </w:r>
            <w:r w:rsidRPr="00942F93">
              <w:rPr>
                <w:rFonts w:ascii="Calibri" w:eastAsia="Times New Roman" w:hAnsi="Calibri" w:cs="Times New Roman"/>
                <w:color w:val="000000"/>
                <w:sz w:val="24"/>
                <w:szCs w:val="18"/>
              </w:rPr>
              <w:t xml:space="preserve"> 1, 2018</w:t>
            </w:r>
          </w:p>
        </w:tc>
        <w:tc>
          <w:tcPr>
            <w:tcW w:w="1980" w:type="dxa"/>
            <w:shd w:val="clear" w:color="auto" w:fill="FFFFFF" w:themeFill="background1"/>
            <w:noWrap/>
            <w:vAlign w:val="center"/>
            <w:hideMark/>
          </w:tcPr>
          <w:p w14:paraId="11995D40" w14:textId="77777777" w:rsidR="00C00454" w:rsidRPr="00942F93" w:rsidRDefault="00C00454" w:rsidP="00942F93">
            <w:pPr>
              <w:pStyle w:val="ListParagraph"/>
              <w:numPr>
                <w:ilvl w:val="0"/>
                <w:numId w:val="17"/>
              </w:numPr>
              <w:ind w:left="263" w:hanging="26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rPr>
            </w:pPr>
            <w:r w:rsidRPr="00942F93">
              <w:rPr>
                <w:rFonts w:ascii="Calibri" w:eastAsia="Times New Roman" w:hAnsi="Calibri" w:cs="Times New Roman"/>
                <w:color w:val="000000"/>
                <w:sz w:val="24"/>
                <w:szCs w:val="18"/>
              </w:rPr>
              <w:t>4th Qtr. Data due Aug. 15, 2019</w:t>
            </w:r>
          </w:p>
          <w:p w14:paraId="439B2988" w14:textId="36B77B71" w:rsidR="00C00454" w:rsidRPr="00942F93" w:rsidRDefault="00C00454" w:rsidP="00942F93">
            <w:pPr>
              <w:pStyle w:val="ListParagraph"/>
              <w:numPr>
                <w:ilvl w:val="0"/>
                <w:numId w:val="17"/>
              </w:numPr>
              <w:ind w:left="263" w:hanging="26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0"/>
              </w:rPr>
            </w:pPr>
            <w:r w:rsidRPr="00942F93">
              <w:rPr>
                <w:rFonts w:ascii="Calibri" w:eastAsia="Times New Roman" w:hAnsi="Calibri" w:cs="Times New Roman"/>
                <w:color w:val="000000"/>
                <w:sz w:val="24"/>
                <w:szCs w:val="18"/>
              </w:rPr>
              <w:t>Annual Report due Oct</w:t>
            </w:r>
            <w:r w:rsidR="003255BF">
              <w:rPr>
                <w:rFonts w:ascii="Calibri" w:eastAsia="Times New Roman" w:hAnsi="Calibri" w:cs="Times New Roman"/>
                <w:color w:val="000000"/>
                <w:sz w:val="24"/>
                <w:szCs w:val="18"/>
              </w:rPr>
              <w:t>.</w:t>
            </w:r>
            <w:r w:rsidRPr="00942F93">
              <w:rPr>
                <w:rFonts w:ascii="Calibri" w:eastAsia="Times New Roman" w:hAnsi="Calibri" w:cs="Times New Roman"/>
                <w:color w:val="000000"/>
                <w:sz w:val="24"/>
                <w:szCs w:val="18"/>
              </w:rPr>
              <w:t xml:space="preserve"> 1, 2019</w:t>
            </w:r>
          </w:p>
        </w:tc>
        <w:tc>
          <w:tcPr>
            <w:tcW w:w="1980" w:type="dxa"/>
            <w:shd w:val="clear" w:color="auto" w:fill="FFFFFF" w:themeFill="background1"/>
            <w:noWrap/>
            <w:vAlign w:val="center"/>
            <w:hideMark/>
          </w:tcPr>
          <w:p w14:paraId="3295129C" w14:textId="77777777" w:rsidR="00C00454" w:rsidRPr="00942F93" w:rsidRDefault="00C00454" w:rsidP="00942F93">
            <w:pPr>
              <w:pStyle w:val="ListParagraph"/>
              <w:numPr>
                <w:ilvl w:val="0"/>
                <w:numId w:val="17"/>
              </w:numPr>
              <w:ind w:left="263" w:hanging="26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rPr>
            </w:pPr>
            <w:r w:rsidRPr="00942F93">
              <w:rPr>
                <w:rFonts w:ascii="Calibri" w:eastAsia="Times New Roman" w:hAnsi="Calibri" w:cs="Times New Roman"/>
                <w:color w:val="000000"/>
                <w:sz w:val="24"/>
                <w:szCs w:val="18"/>
              </w:rPr>
              <w:t>4</w:t>
            </w:r>
            <w:r w:rsidRPr="00942F93">
              <w:rPr>
                <w:rFonts w:ascii="Calibri" w:eastAsia="Times New Roman" w:hAnsi="Calibri" w:cs="Times New Roman"/>
                <w:color w:val="000000"/>
                <w:sz w:val="24"/>
                <w:szCs w:val="18"/>
                <w:vertAlign w:val="superscript"/>
              </w:rPr>
              <w:t>th</w:t>
            </w:r>
            <w:r w:rsidRPr="00942F93">
              <w:rPr>
                <w:rFonts w:ascii="Calibri" w:eastAsia="Times New Roman" w:hAnsi="Calibri" w:cs="Times New Roman"/>
                <w:color w:val="000000"/>
                <w:sz w:val="24"/>
                <w:szCs w:val="18"/>
              </w:rPr>
              <w:t xml:space="preserve"> Qtr. Data due Aug. 15, 2020</w:t>
            </w:r>
          </w:p>
          <w:p w14:paraId="1BF7BA19" w14:textId="10CB0073" w:rsidR="00C00454" w:rsidRPr="00942F93" w:rsidRDefault="00C00454" w:rsidP="00942F93">
            <w:pPr>
              <w:pStyle w:val="ListParagraph"/>
              <w:numPr>
                <w:ilvl w:val="0"/>
                <w:numId w:val="17"/>
              </w:numPr>
              <w:ind w:left="263" w:hanging="26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0"/>
              </w:rPr>
            </w:pPr>
            <w:r w:rsidRPr="00942F93">
              <w:rPr>
                <w:rFonts w:ascii="Calibri" w:eastAsia="Times New Roman" w:hAnsi="Calibri" w:cs="Times New Roman"/>
                <w:color w:val="000000"/>
                <w:sz w:val="24"/>
                <w:szCs w:val="18"/>
              </w:rPr>
              <w:t>Annual Report due Oct</w:t>
            </w:r>
            <w:r w:rsidR="003255BF">
              <w:rPr>
                <w:rFonts w:ascii="Calibri" w:eastAsia="Times New Roman" w:hAnsi="Calibri" w:cs="Times New Roman"/>
                <w:color w:val="000000"/>
                <w:sz w:val="24"/>
                <w:szCs w:val="18"/>
              </w:rPr>
              <w:t>.</w:t>
            </w:r>
            <w:r w:rsidRPr="00942F93">
              <w:rPr>
                <w:rFonts w:ascii="Calibri" w:eastAsia="Times New Roman" w:hAnsi="Calibri" w:cs="Times New Roman"/>
                <w:color w:val="000000"/>
                <w:sz w:val="24"/>
                <w:szCs w:val="18"/>
              </w:rPr>
              <w:t xml:space="preserve"> 1, 2020</w:t>
            </w:r>
          </w:p>
        </w:tc>
        <w:tc>
          <w:tcPr>
            <w:tcW w:w="1980" w:type="dxa"/>
            <w:shd w:val="clear" w:color="auto" w:fill="FFFFFF" w:themeFill="background1"/>
            <w:vAlign w:val="center"/>
          </w:tcPr>
          <w:p w14:paraId="09AB193E" w14:textId="77777777" w:rsidR="00C00454" w:rsidRPr="00942F93" w:rsidRDefault="00C00454" w:rsidP="00942F93">
            <w:pPr>
              <w:pStyle w:val="ListParagraph"/>
              <w:numPr>
                <w:ilvl w:val="0"/>
                <w:numId w:val="17"/>
              </w:numPr>
              <w:ind w:left="263" w:hanging="26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rPr>
            </w:pPr>
            <w:r w:rsidRPr="00942F93">
              <w:rPr>
                <w:rFonts w:ascii="Calibri" w:eastAsia="Times New Roman" w:hAnsi="Calibri" w:cs="Times New Roman"/>
                <w:color w:val="000000"/>
                <w:sz w:val="24"/>
                <w:szCs w:val="18"/>
              </w:rPr>
              <w:t>4</w:t>
            </w:r>
            <w:r w:rsidRPr="00942F93">
              <w:rPr>
                <w:rFonts w:ascii="Calibri" w:eastAsia="Times New Roman" w:hAnsi="Calibri" w:cs="Times New Roman"/>
                <w:color w:val="000000"/>
                <w:sz w:val="24"/>
                <w:szCs w:val="18"/>
                <w:vertAlign w:val="superscript"/>
              </w:rPr>
              <w:t>th</w:t>
            </w:r>
            <w:r w:rsidRPr="00942F93">
              <w:rPr>
                <w:rFonts w:ascii="Calibri" w:eastAsia="Times New Roman" w:hAnsi="Calibri" w:cs="Times New Roman"/>
                <w:color w:val="000000"/>
                <w:sz w:val="24"/>
                <w:szCs w:val="18"/>
              </w:rPr>
              <w:t xml:space="preserve"> Qtr. Data due Aug. 15, 2021</w:t>
            </w:r>
          </w:p>
          <w:p w14:paraId="03F40FEE" w14:textId="4D9D06C5" w:rsidR="00C00454" w:rsidRPr="00942F93" w:rsidRDefault="00C00454" w:rsidP="00942F93">
            <w:pPr>
              <w:pStyle w:val="ListParagraph"/>
              <w:numPr>
                <w:ilvl w:val="0"/>
                <w:numId w:val="17"/>
              </w:numPr>
              <w:ind w:left="263" w:hanging="263"/>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18"/>
              </w:rPr>
            </w:pPr>
            <w:r w:rsidRPr="00942F93">
              <w:rPr>
                <w:rFonts w:ascii="Calibri" w:eastAsia="Times New Roman" w:hAnsi="Calibri" w:cs="Times New Roman"/>
                <w:color w:val="000000"/>
                <w:sz w:val="24"/>
                <w:szCs w:val="18"/>
              </w:rPr>
              <w:t>Annual Report due Oct</w:t>
            </w:r>
            <w:r w:rsidR="003255BF">
              <w:rPr>
                <w:rFonts w:ascii="Calibri" w:eastAsia="Times New Roman" w:hAnsi="Calibri" w:cs="Times New Roman"/>
                <w:color w:val="000000"/>
                <w:sz w:val="24"/>
                <w:szCs w:val="18"/>
              </w:rPr>
              <w:t>.</w:t>
            </w:r>
            <w:r w:rsidRPr="00942F93">
              <w:rPr>
                <w:rFonts w:ascii="Calibri" w:eastAsia="Times New Roman" w:hAnsi="Calibri" w:cs="Times New Roman"/>
                <w:color w:val="000000"/>
                <w:sz w:val="24"/>
                <w:szCs w:val="18"/>
              </w:rPr>
              <w:t xml:space="preserve"> 1, 2021</w:t>
            </w:r>
          </w:p>
        </w:tc>
      </w:tr>
      <w:tr w:rsidR="00C00454" w:rsidRPr="006D028D" w14:paraId="15E4D4D8" w14:textId="77777777" w:rsidTr="004E7F1E">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23" w:type="dxa"/>
            <w:vMerge/>
            <w:tcBorders>
              <w:left w:val="single" w:sz="4" w:space="0" w:color="auto"/>
              <w:bottom w:val="single" w:sz="4" w:space="0" w:color="auto"/>
            </w:tcBorders>
            <w:noWrap/>
            <w:hideMark/>
          </w:tcPr>
          <w:p w14:paraId="2637825C" w14:textId="77777777" w:rsidR="00C00454" w:rsidRPr="006D028D" w:rsidRDefault="00C00454" w:rsidP="007E14CD">
            <w:pPr>
              <w:jc w:val="center"/>
              <w:rPr>
                <w:rFonts w:ascii="Calibri" w:eastAsia="Times New Roman" w:hAnsi="Calibri" w:cs="Times New Roman"/>
                <w:color w:val="000000"/>
                <w:sz w:val="24"/>
                <w:szCs w:val="24"/>
              </w:rPr>
            </w:pPr>
          </w:p>
        </w:tc>
        <w:tc>
          <w:tcPr>
            <w:tcW w:w="2437" w:type="dxa"/>
            <w:vMerge/>
            <w:noWrap/>
            <w:hideMark/>
          </w:tcPr>
          <w:p w14:paraId="3A90C24A" w14:textId="77777777" w:rsidR="00C00454" w:rsidRPr="006D028D" w:rsidRDefault="00C00454" w:rsidP="007E14C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p>
        </w:tc>
        <w:tc>
          <w:tcPr>
            <w:tcW w:w="7920" w:type="dxa"/>
            <w:gridSpan w:val="4"/>
            <w:noWrap/>
            <w:hideMark/>
          </w:tcPr>
          <w:p w14:paraId="5E7A5391"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 of Data A</w:t>
            </w:r>
            <w:r>
              <w:rPr>
                <w:rFonts w:ascii="Calibri" w:eastAsia="Times New Roman" w:hAnsi="Calibri" w:cs="Times New Roman"/>
                <w:color w:val="000000"/>
                <w:sz w:val="24"/>
                <w:szCs w:val="24"/>
              </w:rPr>
              <w:t>vailable for Program Year</w:t>
            </w:r>
          </w:p>
        </w:tc>
      </w:tr>
      <w:tr w:rsidR="00C00454" w:rsidRPr="006D028D" w14:paraId="42DC3BA6" w14:textId="77777777" w:rsidTr="004E7F1E">
        <w:tblPrEx>
          <w:tblCellMar>
            <w:left w:w="74" w:type="dxa"/>
            <w:right w:w="74" w:type="dxa"/>
          </w:tblCellMar>
        </w:tblPrEx>
        <w:trPr>
          <w:trHeight w:val="609"/>
        </w:trPr>
        <w:tc>
          <w:tcPr>
            <w:cnfStyle w:val="001000000000" w:firstRow="0" w:lastRow="0" w:firstColumn="1" w:lastColumn="0" w:oddVBand="0" w:evenVBand="0" w:oddHBand="0" w:evenHBand="0" w:firstRowFirstColumn="0" w:firstRowLastColumn="0" w:lastRowFirstColumn="0" w:lastRowLastColumn="0"/>
            <w:tcW w:w="523" w:type="dxa"/>
            <w:vMerge/>
            <w:tcBorders>
              <w:left w:val="single" w:sz="4" w:space="0" w:color="auto"/>
              <w:bottom w:val="single" w:sz="4" w:space="0" w:color="auto"/>
            </w:tcBorders>
            <w:noWrap/>
            <w:textDirection w:val="btLr"/>
          </w:tcPr>
          <w:p w14:paraId="06C61CEB" w14:textId="77777777" w:rsidR="00C00454" w:rsidRPr="006D028D" w:rsidRDefault="00C00454" w:rsidP="007E14CD">
            <w:pPr>
              <w:jc w:val="center"/>
              <w:rPr>
                <w:rFonts w:ascii="Calibri" w:eastAsia="Times New Roman" w:hAnsi="Calibri" w:cs="Times New Roman"/>
                <w:color w:val="000000"/>
                <w:sz w:val="24"/>
                <w:szCs w:val="24"/>
              </w:rPr>
            </w:pPr>
          </w:p>
        </w:tc>
        <w:tc>
          <w:tcPr>
            <w:tcW w:w="2437" w:type="dxa"/>
            <w:shd w:val="clear" w:color="auto" w:fill="FFFFFF" w:themeFill="background1"/>
            <w:noWrap/>
            <w:vAlign w:val="center"/>
          </w:tcPr>
          <w:p w14:paraId="79500A8E" w14:textId="77777777" w:rsidR="00C00454" w:rsidRPr="000F16D0" w:rsidRDefault="00C00454" w:rsidP="007E14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Measurable Skills Gains</w:t>
            </w:r>
          </w:p>
        </w:tc>
        <w:tc>
          <w:tcPr>
            <w:tcW w:w="1980" w:type="dxa"/>
            <w:shd w:val="clear" w:color="auto" w:fill="FFFFFF" w:themeFill="background1"/>
            <w:noWrap/>
            <w:vAlign w:val="center"/>
          </w:tcPr>
          <w:p w14:paraId="0EB1E9B7"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c>
          <w:tcPr>
            <w:tcW w:w="1980" w:type="dxa"/>
            <w:shd w:val="clear" w:color="auto" w:fill="FFFFFF" w:themeFill="background1"/>
            <w:noWrap/>
            <w:vAlign w:val="center"/>
          </w:tcPr>
          <w:p w14:paraId="5A5FDC55"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c>
          <w:tcPr>
            <w:tcW w:w="1980" w:type="dxa"/>
            <w:shd w:val="clear" w:color="auto" w:fill="FFFFFF" w:themeFill="background1"/>
            <w:noWrap/>
            <w:vAlign w:val="center"/>
          </w:tcPr>
          <w:p w14:paraId="2A949454"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c>
          <w:tcPr>
            <w:tcW w:w="1980" w:type="dxa"/>
            <w:shd w:val="clear" w:color="auto" w:fill="FFFFFF" w:themeFill="background1"/>
            <w:vAlign w:val="center"/>
          </w:tcPr>
          <w:p w14:paraId="210B2020"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r>
      <w:tr w:rsidR="00C00454" w:rsidRPr="006D028D" w14:paraId="6D0444BF" w14:textId="77777777" w:rsidTr="004E7F1E">
        <w:tblPrEx>
          <w:tblCellMar>
            <w:left w:w="74" w:type="dxa"/>
            <w:right w:w="74" w:type="dxa"/>
          </w:tblCellMar>
        </w:tblPrEx>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523" w:type="dxa"/>
            <w:vMerge/>
            <w:tcBorders>
              <w:left w:val="single" w:sz="4" w:space="0" w:color="auto"/>
              <w:bottom w:val="single" w:sz="4" w:space="0" w:color="auto"/>
            </w:tcBorders>
            <w:noWrap/>
            <w:textDirection w:val="btLr"/>
            <w:hideMark/>
          </w:tcPr>
          <w:p w14:paraId="15E928D9" w14:textId="77777777" w:rsidR="00C00454" w:rsidRPr="006D028D" w:rsidRDefault="00C00454" w:rsidP="007E14CD">
            <w:pPr>
              <w:jc w:val="center"/>
              <w:rPr>
                <w:rFonts w:ascii="Calibri" w:eastAsia="Times New Roman" w:hAnsi="Calibri" w:cs="Times New Roman"/>
                <w:color w:val="000000"/>
                <w:sz w:val="24"/>
                <w:szCs w:val="24"/>
              </w:rPr>
            </w:pPr>
          </w:p>
        </w:tc>
        <w:tc>
          <w:tcPr>
            <w:tcW w:w="2437" w:type="dxa"/>
            <w:shd w:val="clear" w:color="auto" w:fill="FFFFFF" w:themeFill="background1"/>
            <w:noWrap/>
            <w:hideMark/>
          </w:tcPr>
          <w:p w14:paraId="2CD0C2A2" w14:textId="77777777" w:rsidR="00C00454" w:rsidRPr="000F16D0" w:rsidRDefault="00C00454" w:rsidP="007E14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0F16D0">
              <w:rPr>
                <w:rFonts w:ascii="Calibri" w:eastAsia="Times New Roman" w:hAnsi="Calibri" w:cs="Times New Roman"/>
                <w:color w:val="000000"/>
                <w:sz w:val="24"/>
                <w:szCs w:val="24"/>
              </w:rPr>
              <w:t>Employment Rate</w:t>
            </w:r>
          </w:p>
          <w:p w14:paraId="5FC7845C" w14:textId="77777777" w:rsidR="00C00454" w:rsidRPr="000F16D0" w:rsidRDefault="00C00454" w:rsidP="007E14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iCs/>
                <w:color w:val="000000"/>
                <w:sz w:val="24"/>
                <w:szCs w:val="24"/>
              </w:rPr>
              <w:t>2</w:t>
            </w:r>
            <w:r w:rsidRPr="000F16D0">
              <w:rPr>
                <w:rFonts w:ascii="Calibri" w:eastAsia="Times New Roman" w:hAnsi="Calibri" w:cs="Times New Roman"/>
                <w:iCs/>
                <w:color w:val="000000"/>
                <w:sz w:val="24"/>
                <w:szCs w:val="24"/>
                <w:vertAlign w:val="superscript"/>
              </w:rPr>
              <w:t>nd</w:t>
            </w:r>
            <w:r w:rsidRPr="000F16D0">
              <w:rPr>
                <w:rFonts w:ascii="Calibri" w:eastAsia="Times New Roman" w:hAnsi="Calibri" w:cs="Times New Roman"/>
                <w:iCs/>
                <w:color w:val="000000"/>
                <w:sz w:val="24"/>
                <w:szCs w:val="24"/>
              </w:rPr>
              <w:t xml:space="preserve"> Quarter after Exit</w:t>
            </w:r>
          </w:p>
        </w:tc>
        <w:tc>
          <w:tcPr>
            <w:tcW w:w="1980" w:type="dxa"/>
            <w:shd w:val="clear" w:color="auto" w:fill="FFFFFF" w:themeFill="background1"/>
            <w:noWrap/>
            <w:vAlign w:val="center"/>
            <w:hideMark/>
          </w:tcPr>
          <w:p w14:paraId="042DB084"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0%</w:t>
            </w:r>
          </w:p>
        </w:tc>
        <w:tc>
          <w:tcPr>
            <w:tcW w:w="1980" w:type="dxa"/>
            <w:shd w:val="clear" w:color="auto" w:fill="FFFFFF" w:themeFill="background1"/>
            <w:noWrap/>
            <w:vAlign w:val="center"/>
            <w:hideMark/>
          </w:tcPr>
          <w:p w14:paraId="67D96B6D"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75%</w:t>
            </w:r>
          </w:p>
        </w:tc>
        <w:tc>
          <w:tcPr>
            <w:tcW w:w="1980" w:type="dxa"/>
            <w:shd w:val="clear" w:color="auto" w:fill="FFFFFF" w:themeFill="background1"/>
            <w:noWrap/>
            <w:vAlign w:val="center"/>
            <w:hideMark/>
          </w:tcPr>
          <w:p w14:paraId="1AFB2CA3"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c>
          <w:tcPr>
            <w:tcW w:w="1980" w:type="dxa"/>
            <w:shd w:val="clear" w:color="auto" w:fill="FFFFFF" w:themeFill="background1"/>
            <w:vAlign w:val="center"/>
          </w:tcPr>
          <w:p w14:paraId="30EC1C3E"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r>
      <w:tr w:rsidR="00C00454" w:rsidRPr="006D028D" w14:paraId="1306B49C" w14:textId="77777777" w:rsidTr="004E7F1E">
        <w:trPr>
          <w:trHeight w:val="622"/>
        </w:trPr>
        <w:tc>
          <w:tcPr>
            <w:cnfStyle w:val="001000000000" w:firstRow="0" w:lastRow="0" w:firstColumn="1" w:lastColumn="0" w:oddVBand="0" w:evenVBand="0" w:oddHBand="0" w:evenHBand="0" w:firstRowFirstColumn="0" w:firstRowLastColumn="0" w:lastRowFirstColumn="0" w:lastRowLastColumn="0"/>
            <w:tcW w:w="523" w:type="dxa"/>
            <w:vMerge/>
            <w:tcBorders>
              <w:left w:val="single" w:sz="4" w:space="0" w:color="auto"/>
              <w:bottom w:val="single" w:sz="4" w:space="0" w:color="auto"/>
            </w:tcBorders>
            <w:hideMark/>
          </w:tcPr>
          <w:p w14:paraId="57CE4580" w14:textId="77777777" w:rsidR="00C00454" w:rsidRPr="006D028D" w:rsidRDefault="00C00454" w:rsidP="007E14CD">
            <w:pPr>
              <w:rPr>
                <w:rFonts w:ascii="Calibri" w:eastAsia="Times New Roman" w:hAnsi="Calibri" w:cs="Times New Roman"/>
                <w:color w:val="000000"/>
                <w:sz w:val="24"/>
                <w:szCs w:val="24"/>
              </w:rPr>
            </w:pPr>
          </w:p>
        </w:tc>
        <w:tc>
          <w:tcPr>
            <w:tcW w:w="2437" w:type="dxa"/>
            <w:shd w:val="clear" w:color="auto" w:fill="FFFFFF" w:themeFill="background1"/>
            <w:noWrap/>
          </w:tcPr>
          <w:p w14:paraId="1F4D31EB" w14:textId="77777777" w:rsidR="00C00454" w:rsidRPr="000F16D0" w:rsidRDefault="00C00454" w:rsidP="007E14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0F16D0">
              <w:rPr>
                <w:rFonts w:ascii="Calibri" w:eastAsia="Times New Roman" w:hAnsi="Calibri" w:cs="Times New Roman"/>
                <w:color w:val="000000"/>
                <w:sz w:val="24"/>
                <w:szCs w:val="24"/>
              </w:rPr>
              <w:t>Median Earnings</w:t>
            </w:r>
          </w:p>
          <w:p w14:paraId="6F80C5DB" w14:textId="77777777" w:rsidR="00C00454" w:rsidRPr="000F16D0" w:rsidRDefault="00C00454" w:rsidP="007E14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iCs/>
                <w:color w:val="000000"/>
                <w:sz w:val="24"/>
                <w:szCs w:val="24"/>
              </w:rPr>
              <w:t>2</w:t>
            </w:r>
            <w:r w:rsidRPr="000F16D0">
              <w:rPr>
                <w:rFonts w:ascii="Calibri" w:eastAsia="Times New Roman" w:hAnsi="Calibri" w:cs="Times New Roman"/>
                <w:iCs/>
                <w:color w:val="000000"/>
                <w:sz w:val="24"/>
                <w:szCs w:val="24"/>
                <w:vertAlign w:val="superscript"/>
              </w:rPr>
              <w:t>nd</w:t>
            </w:r>
            <w:r w:rsidRPr="000F16D0">
              <w:rPr>
                <w:rFonts w:ascii="Calibri" w:eastAsia="Times New Roman" w:hAnsi="Calibri" w:cs="Times New Roman"/>
                <w:iCs/>
                <w:color w:val="000000"/>
                <w:sz w:val="24"/>
                <w:szCs w:val="24"/>
              </w:rPr>
              <w:t xml:space="preserve"> Quarter after Exit</w:t>
            </w:r>
          </w:p>
        </w:tc>
        <w:tc>
          <w:tcPr>
            <w:tcW w:w="1980" w:type="dxa"/>
            <w:shd w:val="clear" w:color="auto" w:fill="FFFFFF" w:themeFill="background1"/>
            <w:noWrap/>
            <w:vAlign w:val="center"/>
          </w:tcPr>
          <w:p w14:paraId="3A335952"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0%</w:t>
            </w:r>
          </w:p>
        </w:tc>
        <w:tc>
          <w:tcPr>
            <w:tcW w:w="1980" w:type="dxa"/>
            <w:shd w:val="clear" w:color="auto" w:fill="FFFFFF" w:themeFill="background1"/>
            <w:noWrap/>
            <w:vAlign w:val="center"/>
          </w:tcPr>
          <w:p w14:paraId="5EF674E1"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75%</w:t>
            </w:r>
          </w:p>
        </w:tc>
        <w:tc>
          <w:tcPr>
            <w:tcW w:w="1980" w:type="dxa"/>
            <w:shd w:val="clear" w:color="auto" w:fill="FFFFFF" w:themeFill="background1"/>
            <w:noWrap/>
            <w:vAlign w:val="center"/>
          </w:tcPr>
          <w:p w14:paraId="2FEED0A1"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c>
          <w:tcPr>
            <w:tcW w:w="1980" w:type="dxa"/>
            <w:shd w:val="clear" w:color="auto" w:fill="FFFFFF" w:themeFill="background1"/>
            <w:vAlign w:val="center"/>
          </w:tcPr>
          <w:p w14:paraId="77C671BF"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r>
      <w:tr w:rsidR="00C00454" w:rsidRPr="006D028D" w14:paraId="2EDE5526" w14:textId="77777777" w:rsidTr="004E7F1E">
        <w:trPr>
          <w:cnfStyle w:val="000000100000" w:firstRow="0" w:lastRow="0" w:firstColumn="0" w:lastColumn="0" w:oddVBand="0" w:evenVBand="0" w:oddHBand="1" w:evenHBand="0" w:firstRowFirstColumn="0" w:firstRowLastColumn="0" w:lastRowFirstColumn="0" w:lastRowLastColumn="0"/>
          <w:trHeight w:val="622"/>
        </w:trPr>
        <w:tc>
          <w:tcPr>
            <w:cnfStyle w:val="001000000000" w:firstRow="0" w:lastRow="0" w:firstColumn="1" w:lastColumn="0" w:oddVBand="0" w:evenVBand="0" w:oddHBand="0" w:evenHBand="0" w:firstRowFirstColumn="0" w:firstRowLastColumn="0" w:lastRowFirstColumn="0" w:lastRowLastColumn="0"/>
            <w:tcW w:w="523" w:type="dxa"/>
            <w:vMerge/>
            <w:tcBorders>
              <w:left w:val="single" w:sz="4" w:space="0" w:color="auto"/>
              <w:bottom w:val="single" w:sz="4" w:space="0" w:color="auto"/>
            </w:tcBorders>
            <w:hideMark/>
          </w:tcPr>
          <w:p w14:paraId="034B80D8" w14:textId="77777777" w:rsidR="00C00454" w:rsidRPr="006D028D" w:rsidRDefault="00C00454" w:rsidP="007E14CD">
            <w:pPr>
              <w:rPr>
                <w:rFonts w:ascii="Calibri" w:eastAsia="Times New Roman" w:hAnsi="Calibri" w:cs="Times New Roman"/>
                <w:color w:val="000000"/>
                <w:sz w:val="24"/>
                <w:szCs w:val="24"/>
              </w:rPr>
            </w:pPr>
          </w:p>
        </w:tc>
        <w:tc>
          <w:tcPr>
            <w:tcW w:w="2437" w:type="dxa"/>
            <w:shd w:val="clear" w:color="auto" w:fill="FFFFFF" w:themeFill="background1"/>
            <w:noWrap/>
            <w:vAlign w:val="center"/>
          </w:tcPr>
          <w:p w14:paraId="029A8C7B" w14:textId="77777777" w:rsidR="00C00454" w:rsidRPr="000F16D0" w:rsidRDefault="00C00454" w:rsidP="007E14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Credential Attainment Rate</w:t>
            </w:r>
          </w:p>
        </w:tc>
        <w:tc>
          <w:tcPr>
            <w:tcW w:w="1980" w:type="dxa"/>
            <w:shd w:val="clear" w:color="auto" w:fill="FFFFFF" w:themeFill="background1"/>
            <w:noWrap/>
            <w:vAlign w:val="center"/>
          </w:tcPr>
          <w:p w14:paraId="7E0BEC07"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0%</w:t>
            </w:r>
          </w:p>
        </w:tc>
        <w:tc>
          <w:tcPr>
            <w:tcW w:w="1980" w:type="dxa"/>
            <w:shd w:val="clear" w:color="auto" w:fill="FFFFFF" w:themeFill="background1"/>
            <w:noWrap/>
            <w:vAlign w:val="center"/>
          </w:tcPr>
          <w:p w14:paraId="2A6AB2DD"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color w:val="000000"/>
                <w:sz w:val="24"/>
                <w:szCs w:val="24"/>
              </w:rPr>
              <w:t>50%</w:t>
            </w:r>
          </w:p>
        </w:tc>
        <w:tc>
          <w:tcPr>
            <w:tcW w:w="1980" w:type="dxa"/>
            <w:shd w:val="clear" w:color="auto" w:fill="FFFFFF" w:themeFill="background1"/>
            <w:noWrap/>
            <w:vAlign w:val="center"/>
          </w:tcPr>
          <w:p w14:paraId="5A5C90E4"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c>
          <w:tcPr>
            <w:tcW w:w="1980" w:type="dxa"/>
            <w:shd w:val="clear" w:color="auto" w:fill="FFFFFF" w:themeFill="background1"/>
            <w:vAlign w:val="center"/>
          </w:tcPr>
          <w:p w14:paraId="2C2F550B" w14:textId="77777777" w:rsidR="00C00454" w:rsidRPr="006D028D" w:rsidRDefault="00C00454" w:rsidP="007E14CD">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r>
      <w:tr w:rsidR="00C00454" w:rsidRPr="006D028D" w14:paraId="4564328D" w14:textId="77777777" w:rsidTr="004E7F1E">
        <w:trPr>
          <w:trHeight w:val="614"/>
        </w:trPr>
        <w:tc>
          <w:tcPr>
            <w:cnfStyle w:val="001000000000" w:firstRow="0" w:lastRow="0" w:firstColumn="1" w:lastColumn="0" w:oddVBand="0" w:evenVBand="0" w:oddHBand="0" w:evenHBand="0" w:firstRowFirstColumn="0" w:firstRowLastColumn="0" w:lastRowFirstColumn="0" w:lastRowLastColumn="0"/>
            <w:tcW w:w="523" w:type="dxa"/>
            <w:vMerge/>
            <w:tcBorders>
              <w:left w:val="single" w:sz="4" w:space="0" w:color="auto"/>
              <w:bottom w:val="single" w:sz="4" w:space="0" w:color="auto"/>
            </w:tcBorders>
            <w:hideMark/>
          </w:tcPr>
          <w:p w14:paraId="22755797" w14:textId="77777777" w:rsidR="00C00454" w:rsidRPr="006D028D" w:rsidRDefault="00C00454" w:rsidP="007E14CD">
            <w:pPr>
              <w:rPr>
                <w:rFonts w:ascii="Calibri" w:eastAsia="Times New Roman" w:hAnsi="Calibri" w:cs="Times New Roman"/>
                <w:color w:val="000000"/>
                <w:sz w:val="24"/>
                <w:szCs w:val="24"/>
              </w:rPr>
            </w:pPr>
          </w:p>
        </w:tc>
        <w:tc>
          <w:tcPr>
            <w:tcW w:w="2437" w:type="dxa"/>
            <w:tcBorders>
              <w:bottom w:val="single" w:sz="4" w:space="0" w:color="auto"/>
            </w:tcBorders>
            <w:shd w:val="clear" w:color="auto" w:fill="FFFFFF" w:themeFill="background1"/>
            <w:noWrap/>
          </w:tcPr>
          <w:p w14:paraId="0AAE0BF5" w14:textId="77777777" w:rsidR="00C00454" w:rsidRDefault="00C00454" w:rsidP="007E14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0F16D0">
              <w:rPr>
                <w:rFonts w:ascii="Calibri" w:eastAsia="Times New Roman" w:hAnsi="Calibri" w:cs="Times New Roman"/>
                <w:color w:val="000000"/>
                <w:sz w:val="24"/>
                <w:szCs w:val="24"/>
              </w:rPr>
              <w:t>Employment Rate</w:t>
            </w:r>
          </w:p>
          <w:p w14:paraId="520D7026" w14:textId="77777777" w:rsidR="00C00454" w:rsidRPr="006D028D" w:rsidRDefault="00C00454" w:rsidP="007E14CD">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Pr>
                <w:rFonts w:ascii="Calibri" w:eastAsia="Times New Roman" w:hAnsi="Calibri" w:cs="Times New Roman"/>
                <w:iCs/>
                <w:color w:val="000000"/>
                <w:sz w:val="24"/>
                <w:szCs w:val="24"/>
              </w:rPr>
              <w:t>4</w:t>
            </w:r>
            <w:r w:rsidRPr="000F16D0">
              <w:rPr>
                <w:rFonts w:ascii="Calibri" w:eastAsia="Times New Roman" w:hAnsi="Calibri" w:cs="Times New Roman"/>
                <w:iCs/>
                <w:color w:val="000000"/>
                <w:sz w:val="24"/>
                <w:szCs w:val="24"/>
                <w:vertAlign w:val="superscript"/>
              </w:rPr>
              <w:t>th</w:t>
            </w:r>
            <w:r>
              <w:rPr>
                <w:rFonts w:ascii="Calibri" w:eastAsia="Times New Roman" w:hAnsi="Calibri" w:cs="Times New Roman"/>
                <w:iCs/>
                <w:color w:val="000000"/>
                <w:sz w:val="24"/>
                <w:szCs w:val="24"/>
              </w:rPr>
              <w:t xml:space="preserve"> </w:t>
            </w:r>
            <w:r w:rsidRPr="000F16D0">
              <w:rPr>
                <w:rFonts w:ascii="Calibri" w:eastAsia="Times New Roman" w:hAnsi="Calibri" w:cs="Times New Roman"/>
                <w:iCs/>
                <w:color w:val="000000"/>
                <w:sz w:val="24"/>
                <w:szCs w:val="24"/>
              </w:rPr>
              <w:t>Quarter after Exit</w:t>
            </w:r>
          </w:p>
        </w:tc>
        <w:tc>
          <w:tcPr>
            <w:tcW w:w="1980" w:type="dxa"/>
            <w:tcBorders>
              <w:bottom w:val="single" w:sz="4" w:space="0" w:color="auto"/>
            </w:tcBorders>
            <w:shd w:val="clear" w:color="auto" w:fill="FFFFFF" w:themeFill="background1"/>
            <w:noWrap/>
            <w:vAlign w:val="center"/>
          </w:tcPr>
          <w:p w14:paraId="689439D8"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0%</w:t>
            </w:r>
          </w:p>
        </w:tc>
        <w:tc>
          <w:tcPr>
            <w:tcW w:w="1980" w:type="dxa"/>
            <w:tcBorders>
              <w:bottom w:val="single" w:sz="4" w:space="0" w:color="auto"/>
            </w:tcBorders>
            <w:shd w:val="clear" w:color="auto" w:fill="FFFFFF" w:themeFill="background1"/>
            <w:noWrap/>
            <w:vAlign w:val="center"/>
          </w:tcPr>
          <w:p w14:paraId="197BFDB8"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25%</w:t>
            </w:r>
          </w:p>
        </w:tc>
        <w:tc>
          <w:tcPr>
            <w:tcW w:w="1980" w:type="dxa"/>
            <w:tcBorders>
              <w:bottom w:val="single" w:sz="4" w:space="0" w:color="auto"/>
            </w:tcBorders>
            <w:shd w:val="clear" w:color="auto" w:fill="FFFFFF" w:themeFill="background1"/>
            <w:noWrap/>
            <w:vAlign w:val="center"/>
          </w:tcPr>
          <w:p w14:paraId="44C1450C"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c>
          <w:tcPr>
            <w:tcW w:w="1980" w:type="dxa"/>
            <w:tcBorders>
              <w:bottom w:val="single" w:sz="4" w:space="0" w:color="auto"/>
            </w:tcBorders>
            <w:shd w:val="clear" w:color="auto" w:fill="FFFFFF" w:themeFill="background1"/>
            <w:vAlign w:val="center"/>
          </w:tcPr>
          <w:p w14:paraId="4582C8F5" w14:textId="77777777" w:rsidR="00C00454" w:rsidRPr="006D028D" w:rsidRDefault="00C00454" w:rsidP="007E14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rPr>
            </w:pPr>
            <w:r w:rsidRPr="006D028D">
              <w:rPr>
                <w:rFonts w:ascii="Calibri" w:eastAsia="Times New Roman" w:hAnsi="Calibri" w:cs="Times New Roman"/>
                <w:color w:val="000000"/>
                <w:sz w:val="24"/>
                <w:szCs w:val="24"/>
              </w:rPr>
              <w:t>100%</w:t>
            </w:r>
          </w:p>
        </w:tc>
      </w:tr>
    </w:tbl>
    <w:p w14:paraId="2FF41301" w14:textId="5315BC4F" w:rsidR="00C00454" w:rsidRDefault="00C00454" w:rsidP="00C00454">
      <w:pPr>
        <w:rPr>
          <w:sz w:val="24"/>
          <w:szCs w:val="24"/>
        </w:rPr>
      </w:pPr>
    </w:p>
    <w:p w14:paraId="47DCD0D2" w14:textId="77777777" w:rsidR="00CE32C5" w:rsidRDefault="00CE32C5" w:rsidP="00C00454">
      <w:pPr>
        <w:rPr>
          <w:sz w:val="24"/>
          <w:szCs w:val="24"/>
        </w:rPr>
      </w:pPr>
    </w:p>
    <w:tbl>
      <w:tblPr>
        <w:tblStyle w:val="GridTable5Dark-Accent11"/>
        <w:tblpPr w:leftFromText="180" w:rightFromText="180" w:vertAnchor="text" w:horzAnchor="margin" w:tblpXSpec="center" w:tblpY="1528"/>
        <w:tblW w:w="10671" w:type="dxa"/>
        <w:tblLook w:val="04A0" w:firstRow="1" w:lastRow="0" w:firstColumn="1" w:lastColumn="0" w:noHBand="0" w:noVBand="1"/>
        <w:tblCaption w:val="Table"/>
        <w:tblDescription w:val="Table for PY 2018-2019: How long do SVRAs have to report after a participant exits the VR Program? Headers include: PT, Quarter, Exit Quarter, Quarter End Date, Quarterly Report due to RSA, Data."/>
      </w:tblPr>
      <w:tblGrid>
        <w:gridCol w:w="817"/>
        <w:gridCol w:w="1003"/>
        <w:gridCol w:w="1003"/>
        <w:gridCol w:w="2194"/>
        <w:gridCol w:w="2130"/>
        <w:gridCol w:w="3524"/>
      </w:tblGrid>
      <w:tr w:rsidR="00C00454" w14:paraId="41C91703" w14:textId="77777777" w:rsidTr="00942F93">
        <w:trPr>
          <w:cnfStyle w:val="100000000000" w:firstRow="1" w:lastRow="0" w:firstColumn="0" w:lastColumn="0" w:oddVBand="0" w:evenVBand="0" w:oddHBand="0" w:evenHBand="0" w:firstRowFirstColumn="0" w:firstRowLastColumn="0" w:lastRowFirstColumn="0" w:lastRowLastColumn="0"/>
          <w:trHeight w:val="572"/>
          <w:tblHeader/>
        </w:trPr>
        <w:tc>
          <w:tcPr>
            <w:cnfStyle w:val="001000000000" w:firstRow="0" w:lastRow="0" w:firstColumn="1" w:lastColumn="0" w:oddVBand="0" w:evenVBand="0" w:oddHBand="0" w:evenHBand="0" w:firstRowFirstColumn="0" w:firstRowLastColumn="0" w:lastRowFirstColumn="0" w:lastRowLastColumn="0"/>
            <w:tcW w:w="818" w:type="dxa"/>
            <w:tcBorders>
              <w:top w:val="none" w:sz="0" w:space="0" w:color="auto"/>
              <w:left w:val="none" w:sz="0" w:space="0" w:color="auto"/>
              <w:right w:val="none" w:sz="0" w:space="0" w:color="auto"/>
            </w:tcBorders>
          </w:tcPr>
          <w:p w14:paraId="48682F26" w14:textId="77777777" w:rsidR="00C00454" w:rsidRPr="0035550C" w:rsidRDefault="00C00454" w:rsidP="00C00454">
            <w:pPr>
              <w:rPr>
                <w:b w:val="0"/>
                <w:sz w:val="24"/>
                <w:szCs w:val="24"/>
              </w:rPr>
            </w:pPr>
            <w:r>
              <w:rPr>
                <w:sz w:val="24"/>
                <w:szCs w:val="24"/>
              </w:rPr>
              <w:lastRenderedPageBreak/>
              <w:t>PY</w:t>
            </w:r>
          </w:p>
        </w:tc>
        <w:tc>
          <w:tcPr>
            <w:tcW w:w="991" w:type="dxa"/>
            <w:tcBorders>
              <w:top w:val="none" w:sz="0" w:space="0" w:color="auto"/>
              <w:left w:val="none" w:sz="0" w:space="0" w:color="auto"/>
              <w:right w:val="none" w:sz="0" w:space="0" w:color="auto"/>
            </w:tcBorders>
          </w:tcPr>
          <w:p w14:paraId="5FE59F3E" w14:textId="77777777" w:rsidR="00C00454" w:rsidRDefault="00C00454" w:rsidP="00C00454">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Quarter</w:t>
            </w:r>
          </w:p>
        </w:tc>
        <w:tc>
          <w:tcPr>
            <w:tcW w:w="991" w:type="dxa"/>
            <w:tcBorders>
              <w:top w:val="none" w:sz="0" w:space="0" w:color="auto"/>
              <w:left w:val="none" w:sz="0" w:space="0" w:color="auto"/>
              <w:right w:val="none" w:sz="0" w:space="0" w:color="auto"/>
            </w:tcBorders>
          </w:tcPr>
          <w:p w14:paraId="071AF095" w14:textId="77777777" w:rsidR="00C00454" w:rsidRDefault="00C00454" w:rsidP="00C00454">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Exit Quarter</w:t>
            </w:r>
          </w:p>
        </w:tc>
        <w:tc>
          <w:tcPr>
            <w:tcW w:w="2199" w:type="dxa"/>
            <w:tcBorders>
              <w:top w:val="none" w:sz="0" w:space="0" w:color="auto"/>
              <w:left w:val="none" w:sz="0" w:space="0" w:color="auto"/>
              <w:right w:val="none" w:sz="0" w:space="0" w:color="auto"/>
            </w:tcBorders>
          </w:tcPr>
          <w:p w14:paraId="2F8C3C8D" w14:textId="77777777" w:rsidR="00C00454" w:rsidRPr="0035550C" w:rsidRDefault="00C00454" w:rsidP="00C00454">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Quarter End Date</w:t>
            </w:r>
          </w:p>
        </w:tc>
        <w:tc>
          <w:tcPr>
            <w:tcW w:w="2135" w:type="dxa"/>
            <w:tcBorders>
              <w:top w:val="none" w:sz="0" w:space="0" w:color="auto"/>
              <w:left w:val="none" w:sz="0" w:space="0" w:color="auto"/>
              <w:right w:val="none" w:sz="0" w:space="0" w:color="auto"/>
            </w:tcBorders>
          </w:tcPr>
          <w:p w14:paraId="31FBBE72" w14:textId="77777777" w:rsidR="00C00454" w:rsidRDefault="00C00454" w:rsidP="00C00454">
            <w:pP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Quarterly Report Due to RSA</w:t>
            </w:r>
          </w:p>
        </w:tc>
        <w:tc>
          <w:tcPr>
            <w:tcW w:w="3537" w:type="dxa"/>
            <w:tcBorders>
              <w:top w:val="none" w:sz="0" w:space="0" w:color="auto"/>
              <w:left w:val="none" w:sz="0" w:space="0" w:color="auto"/>
              <w:right w:val="none" w:sz="0" w:space="0" w:color="auto"/>
            </w:tcBorders>
          </w:tcPr>
          <w:p w14:paraId="21C5F15C" w14:textId="77777777" w:rsidR="00C00454" w:rsidRPr="0035550C" w:rsidRDefault="00C00454" w:rsidP="00C00454">
            <w:pPr>
              <w:cnfStyle w:val="100000000000" w:firstRow="1" w:lastRow="0" w:firstColumn="0" w:lastColumn="0" w:oddVBand="0" w:evenVBand="0" w:oddHBand="0" w:evenHBand="0" w:firstRowFirstColumn="0" w:firstRowLastColumn="0" w:lastRowFirstColumn="0" w:lastRowLastColumn="0"/>
              <w:rPr>
                <w:b w:val="0"/>
                <w:sz w:val="24"/>
                <w:szCs w:val="24"/>
              </w:rPr>
            </w:pPr>
            <w:r>
              <w:rPr>
                <w:sz w:val="24"/>
                <w:szCs w:val="24"/>
              </w:rPr>
              <w:t xml:space="preserve">Data </w:t>
            </w:r>
          </w:p>
        </w:tc>
      </w:tr>
      <w:tr w:rsidR="00C00454" w14:paraId="62333B30" w14:textId="77777777" w:rsidTr="002D297F">
        <w:trPr>
          <w:cnfStyle w:val="000000100000" w:firstRow="0" w:lastRow="0" w:firstColumn="0" w:lastColumn="0" w:oddVBand="0" w:evenVBand="0" w:oddHBand="1"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818" w:type="dxa"/>
            <w:tcBorders>
              <w:left w:val="none" w:sz="0" w:space="0" w:color="auto"/>
            </w:tcBorders>
          </w:tcPr>
          <w:p w14:paraId="5A849798" w14:textId="77777777" w:rsidR="00C00454" w:rsidRPr="0035550C" w:rsidRDefault="00C00454" w:rsidP="00C00454">
            <w:pPr>
              <w:rPr>
                <w:sz w:val="24"/>
                <w:szCs w:val="24"/>
              </w:rPr>
            </w:pPr>
            <w:r>
              <w:rPr>
                <w:sz w:val="24"/>
                <w:szCs w:val="24"/>
              </w:rPr>
              <w:t>2018</w:t>
            </w:r>
          </w:p>
        </w:tc>
        <w:tc>
          <w:tcPr>
            <w:tcW w:w="991" w:type="dxa"/>
          </w:tcPr>
          <w:p w14:paraId="2BB88354"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Q1</w:t>
            </w:r>
          </w:p>
        </w:tc>
        <w:tc>
          <w:tcPr>
            <w:tcW w:w="991" w:type="dxa"/>
          </w:tcPr>
          <w:p w14:paraId="6092F093"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0</w:t>
            </w:r>
          </w:p>
        </w:tc>
        <w:tc>
          <w:tcPr>
            <w:tcW w:w="2199" w:type="dxa"/>
          </w:tcPr>
          <w:p w14:paraId="0024270D"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September 30, 2018</w:t>
            </w:r>
          </w:p>
        </w:tc>
        <w:tc>
          <w:tcPr>
            <w:tcW w:w="2135" w:type="dxa"/>
          </w:tcPr>
          <w:p w14:paraId="05FAC391"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November 15, 2018</w:t>
            </w:r>
          </w:p>
        </w:tc>
        <w:tc>
          <w:tcPr>
            <w:tcW w:w="3537" w:type="dxa"/>
          </w:tcPr>
          <w:p w14:paraId="002D3ABE"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Participant exits during PY 2018 Q1 </w:t>
            </w:r>
          </w:p>
        </w:tc>
      </w:tr>
      <w:tr w:rsidR="00C00454" w14:paraId="01BB5E00" w14:textId="77777777" w:rsidTr="002D297F">
        <w:trPr>
          <w:trHeight w:val="281"/>
        </w:trPr>
        <w:tc>
          <w:tcPr>
            <w:cnfStyle w:val="001000000000" w:firstRow="0" w:lastRow="0" w:firstColumn="1" w:lastColumn="0" w:oddVBand="0" w:evenVBand="0" w:oddHBand="0" w:evenHBand="0" w:firstRowFirstColumn="0" w:firstRowLastColumn="0" w:lastRowFirstColumn="0" w:lastRowLastColumn="0"/>
            <w:tcW w:w="818" w:type="dxa"/>
            <w:tcBorders>
              <w:left w:val="none" w:sz="0" w:space="0" w:color="auto"/>
            </w:tcBorders>
          </w:tcPr>
          <w:p w14:paraId="627281E3" w14:textId="77777777" w:rsidR="00C00454" w:rsidRPr="0035550C" w:rsidRDefault="00C00454" w:rsidP="00C00454">
            <w:pPr>
              <w:rPr>
                <w:sz w:val="24"/>
                <w:szCs w:val="24"/>
              </w:rPr>
            </w:pPr>
            <w:r>
              <w:rPr>
                <w:sz w:val="24"/>
                <w:szCs w:val="24"/>
              </w:rPr>
              <w:t xml:space="preserve">2018 </w:t>
            </w:r>
          </w:p>
        </w:tc>
        <w:tc>
          <w:tcPr>
            <w:tcW w:w="991" w:type="dxa"/>
          </w:tcPr>
          <w:p w14:paraId="5DEDC6B1" w14:textId="77777777" w:rsidR="00C00454"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Q2</w:t>
            </w:r>
          </w:p>
        </w:tc>
        <w:tc>
          <w:tcPr>
            <w:tcW w:w="991" w:type="dxa"/>
          </w:tcPr>
          <w:p w14:paraId="05EC5D5B" w14:textId="77777777" w:rsidR="00C00454" w:rsidRPr="0035550C"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w:t>
            </w:r>
          </w:p>
        </w:tc>
        <w:tc>
          <w:tcPr>
            <w:tcW w:w="2199" w:type="dxa"/>
          </w:tcPr>
          <w:p w14:paraId="57C6127F" w14:textId="77777777" w:rsidR="00C00454" w:rsidRPr="0035550C"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December 31, 2018</w:t>
            </w:r>
          </w:p>
        </w:tc>
        <w:tc>
          <w:tcPr>
            <w:tcW w:w="2135" w:type="dxa"/>
          </w:tcPr>
          <w:p w14:paraId="64C072F1" w14:textId="77777777" w:rsidR="00C00454"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February 15, 2019</w:t>
            </w:r>
          </w:p>
        </w:tc>
        <w:tc>
          <w:tcPr>
            <w:tcW w:w="3537" w:type="dxa"/>
          </w:tcPr>
          <w:p w14:paraId="46067B77" w14:textId="77777777" w:rsidR="00C00454" w:rsidRPr="0035550C"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r>
      <w:tr w:rsidR="00C00454" w14:paraId="27B1FBBB" w14:textId="77777777" w:rsidTr="002D297F">
        <w:trPr>
          <w:cnfStyle w:val="000000100000" w:firstRow="0" w:lastRow="0" w:firstColumn="0" w:lastColumn="0" w:oddVBand="0" w:evenVBand="0" w:oddHBand="1" w:evenHBand="0" w:firstRowFirstColumn="0" w:firstRowLastColumn="0" w:lastRowFirstColumn="0" w:lastRowLastColumn="0"/>
          <w:trHeight w:val="1145"/>
        </w:trPr>
        <w:tc>
          <w:tcPr>
            <w:cnfStyle w:val="001000000000" w:firstRow="0" w:lastRow="0" w:firstColumn="1" w:lastColumn="0" w:oddVBand="0" w:evenVBand="0" w:oddHBand="0" w:evenHBand="0" w:firstRowFirstColumn="0" w:firstRowLastColumn="0" w:lastRowFirstColumn="0" w:lastRowLastColumn="0"/>
            <w:tcW w:w="818" w:type="dxa"/>
            <w:tcBorders>
              <w:left w:val="none" w:sz="0" w:space="0" w:color="auto"/>
            </w:tcBorders>
          </w:tcPr>
          <w:p w14:paraId="0C11CA58" w14:textId="77777777" w:rsidR="00C00454" w:rsidRPr="0035550C" w:rsidRDefault="00C00454" w:rsidP="00C00454">
            <w:pPr>
              <w:rPr>
                <w:sz w:val="24"/>
                <w:szCs w:val="24"/>
              </w:rPr>
            </w:pPr>
            <w:r>
              <w:rPr>
                <w:sz w:val="24"/>
                <w:szCs w:val="24"/>
              </w:rPr>
              <w:t xml:space="preserve">2018 </w:t>
            </w:r>
          </w:p>
        </w:tc>
        <w:tc>
          <w:tcPr>
            <w:tcW w:w="991" w:type="dxa"/>
          </w:tcPr>
          <w:p w14:paraId="218C491F"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Q3</w:t>
            </w:r>
          </w:p>
        </w:tc>
        <w:tc>
          <w:tcPr>
            <w:tcW w:w="991" w:type="dxa"/>
          </w:tcPr>
          <w:p w14:paraId="1DDDE8BF"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2</w:t>
            </w:r>
          </w:p>
        </w:tc>
        <w:tc>
          <w:tcPr>
            <w:tcW w:w="2199" w:type="dxa"/>
          </w:tcPr>
          <w:p w14:paraId="65369E58"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March 31, 2019</w:t>
            </w:r>
          </w:p>
        </w:tc>
        <w:tc>
          <w:tcPr>
            <w:tcW w:w="2135" w:type="dxa"/>
          </w:tcPr>
          <w:p w14:paraId="7B658BF1" w14:textId="77777777" w:rsidR="00C00454" w:rsidRPr="008244C9"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May 15, 2019</w:t>
            </w:r>
          </w:p>
        </w:tc>
        <w:tc>
          <w:tcPr>
            <w:tcW w:w="3537" w:type="dxa"/>
          </w:tcPr>
          <w:p w14:paraId="01B6895A"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i/>
                <w:sz w:val="24"/>
                <w:szCs w:val="24"/>
              </w:rPr>
              <w:t xml:space="preserve">Employment </w:t>
            </w:r>
            <w:r w:rsidRPr="002C16B2">
              <w:rPr>
                <w:i/>
                <w:sz w:val="24"/>
                <w:szCs w:val="24"/>
              </w:rPr>
              <w:t>2</w:t>
            </w:r>
            <w:r w:rsidRPr="002C16B2">
              <w:rPr>
                <w:i/>
                <w:sz w:val="24"/>
                <w:szCs w:val="24"/>
                <w:vertAlign w:val="superscript"/>
              </w:rPr>
              <w:t>nd</w:t>
            </w:r>
            <w:r w:rsidRPr="002C16B2">
              <w:rPr>
                <w:i/>
                <w:sz w:val="24"/>
                <w:szCs w:val="24"/>
              </w:rPr>
              <w:t xml:space="preserve"> Quarter after Exit</w:t>
            </w:r>
            <w:r>
              <w:rPr>
                <w:sz w:val="24"/>
                <w:szCs w:val="24"/>
              </w:rPr>
              <w:t>; and</w:t>
            </w:r>
          </w:p>
          <w:p w14:paraId="52BFEB48" w14:textId="77777777" w:rsidR="00C00454" w:rsidRPr="002C16B2" w:rsidRDefault="00C00454" w:rsidP="00C00454">
            <w:pPr>
              <w:cnfStyle w:val="000000100000" w:firstRow="0" w:lastRow="0" w:firstColumn="0" w:lastColumn="0" w:oddVBand="0" w:evenVBand="0" w:oddHBand="1" w:evenHBand="0" w:firstRowFirstColumn="0" w:firstRowLastColumn="0" w:lastRowFirstColumn="0" w:lastRowLastColumn="0"/>
              <w:rPr>
                <w:i/>
                <w:sz w:val="24"/>
                <w:szCs w:val="24"/>
              </w:rPr>
            </w:pPr>
            <w:r w:rsidRPr="002C16B2">
              <w:rPr>
                <w:i/>
                <w:sz w:val="24"/>
                <w:szCs w:val="24"/>
              </w:rPr>
              <w:t>Median Earnings 2</w:t>
            </w:r>
            <w:r w:rsidRPr="002C16B2">
              <w:rPr>
                <w:i/>
                <w:sz w:val="24"/>
                <w:szCs w:val="24"/>
                <w:vertAlign w:val="superscript"/>
              </w:rPr>
              <w:t>nd</w:t>
            </w:r>
            <w:r w:rsidRPr="002C16B2">
              <w:rPr>
                <w:i/>
                <w:sz w:val="24"/>
                <w:szCs w:val="24"/>
              </w:rPr>
              <w:t xml:space="preserve"> Quarter after Exit</w:t>
            </w:r>
          </w:p>
        </w:tc>
      </w:tr>
      <w:tr w:rsidR="00C00454" w14:paraId="1089DE93" w14:textId="77777777" w:rsidTr="002D297F">
        <w:trPr>
          <w:trHeight w:val="563"/>
        </w:trPr>
        <w:tc>
          <w:tcPr>
            <w:cnfStyle w:val="001000000000" w:firstRow="0" w:lastRow="0" w:firstColumn="1" w:lastColumn="0" w:oddVBand="0" w:evenVBand="0" w:oddHBand="0" w:evenHBand="0" w:firstRowFirstColumn="0" w:firstRowLastColumn="0" w:lastRowFirstColumn="0" w:lastRowLastColumn="0"/>
            <w:tcW w:w="818" w:type="dxa"/>
            <w:tcBorders>
              <w:left w:val="none" w:sz="0" w:space="0" w:color="auto"/>
            </w:tcBorders>
          </w:tcPr>
          <w:p w14:paraId="721305DA" w14:textId="77777777" w:rsidR="00C00454" w:rsidRPr="0035550C" w:rsidRDefault="00C00454" w:rsidP="00C00454">
            <w:pPr>
              <w:rPr>
                <w:sz w:val="24"/>
                <w:szCs w:val="24"/>
              </w:rPr>
            </w:pPr>
            <w:r>
              <w:rPr>
                <w:sz w:val="24"/>
                <w:szCs w:val="24"/>
              </w:rPr>
              <w:t xml:space="preserve">2018 </w:t>
            </w:r>
          </w:p>
        </w:tc>
        <w:tc>
          <w:tcPr>
            <w:tcW w:w="991" w:type="dxa"/>
          </w:tcPr>
          <w:p w14:paraId="5ED482FD" w14:textId="77777777" w:rsidR="00C00454"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Q4</w:t>
            </w:r>
          </w:p>
        </w:tc>
        <w:tc>
          <w:tcPr>
            <w:tcW w:w="991" w:type="dxa"/>
          </w:tcPr>
          <w:p w14:paraId="19B21B6C" w14:textId="77777777" w:rsidR="00C00454" w:rsidRPr="0035550C"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w:t>
            </w:r>
          </w:p>
        </w:tc>
        <w:tc>
          <w:tcPr>
            <w:tcW w:w="2199" w:type="dxa"/>
          </w:tcPr>
          <w:p w14:paraId="60D2CD35" w14:textId="77777777" w:rsidR="00C00454" w:rsidRPr="0035550C"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June 30, 2019</w:t>
            </w:r>
          </w:p>
        </w:tc>
        <w:tc>
          <w:tcPr>
            <w:tcW w:w="2135" w:type="dxa"/>
          </w:tcPr>
          <w:p w14:paraId="12175554" w14:textId="77777777" w:rsidR="00C00454"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August 15, 2019</w:t>
            </w:r>
          </w:p>
        </w:tc>
        <w:tc>
          <w:tcPr>
            <w:tcW w:w="3537" w:type="dxa"/>
          </w:tcPr>
          <w:p w14:paraId="243140A6" w14:textId="77777777" w:rsidR="00C00454" w:rsidRPr="0035550C"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Employers report wage data from PY 2018 Q3 to State UI</w:t>
            </w:r>
          </w:p>
        </w:tc>
      </w:tr>
      <w:tr w:rsidR="00C00454" w14:paraId="3F600AC2" w14:textId="77777777" w:rsidTr="002D297F">
        <w:trPr>
          <w:cnfStyle w:val="000000100000" w:firstRow="0" w:lastRow="0" w:firstColumn="0" w:lastColumn="0" w:oddVBand="0" w:evenVBand="0" w:oddHBand="1" w:evenHBand="0" w:firstRowFirstColumn="0" w:firstRowLastColumn="0" w:lastRowFirstColumn="0" w:lastRowLastColumn="0"/>
          <w:trHeight w:val="1990"/>
        </w:trPr>
        <w:tc>
          <w:tcPr>
            <w:cnfStyle w:val="001000000000" w:firstRow="0" w:lastRow="0" w:firstColumn="1" w:lastColumn="0" w:oddVBand="0" w:evenVBand="0" w:oddHBand="0" w:evenHBand="0" w:firstRowFirstColumn="0" w:firstRowLastColumn="0" w:lastRowFirstColumn="0" w:lastRowLastColumn="0"/>
            <w:tcW w:w="818" w:type="dxa"/>
            <w:tcBorders>
              <w:left w:val="none" w:sz="0" w:space="0" w:color="auto"/>
            </w:tcBorders>
          </w:tcPr>
          <w:p w14:paraId="142C5EB5" w14:textId="77777777" w:rsidR="00C00454" w:rsidRPr="0035550C" w:rsidRDefault="00C00454" w:rsidP="00C00454">
            <w:pPr>
              <w:rPr>
                <w:sz w:val="24"/>
                <w:szCs w:val="24"/>
              </w:rPr>
            </w:pPr>
            <w:r>
              <w:rPr>
                <w:sz w:val="24"/>
                <w:szCs w:val="24"/>
              </w:rPr>
              <w:t>2019</w:t>
            </w:r>
          </w:p>
        </w:tc>
        <w:tc>
          <w:tcPr>
            <w:tcW w:w="991" w:type="dxa"/>
          </w:tcPr>
          <w:p w14:paraId="053A0D2A"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Q1</w:t>
            </w:r>
          </w:p>
        </w:tc>
        <w:tc>
          <w:tcPr>
            <w:tcW w:w="991" w:type="dxa"/>
          </w:tcPr>
          <w:p w14:paraId="1F17BBB5"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4</w:t>
            </w:r>
          </w:p>
        </w:tc>
        <w:tc>
          <w:tcPr>
            <w:tcW w:w="2199" w:type="dxa"/>
          </w:tcPr>
          <w:p w14:paraId="6C88D21D"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September 30, 2019</w:t>
            </w:r>
          </w:p>
        </w:tc>
        <w:tc>
          <w:tcPr>
            <w:tcW w:w="2135" w:type="dxa"/>
          </w:tcPr>
          <w:p w14:paraId="57F187B0" w14:textId="77777777" w:rsidR="00C00454" w:rsidRPr="008244C9"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November 15, 2019</w:t>
            </w:r>
          </w:p>
        </w:tc>
        <w:tc>
          <w:tcPr>
            <w:tcW w:w="3537" w:type="dxa"/>
          </w:tcPr>
          <w:p w14:paraId="67EF4D2B"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i/>
                <w:sz w:val="24"/>
                <w:szCs w:val="24"/>
              </w:rPr>
            </w:pPr>
            <w:r>
              <w:rPr>
                <w:i/>
                <w:sz w:val="24"/>
                <w:szCs w:val="24"/>
              </w:rPr>
              <w:t>Employment 4</w:t>
            </w:r>
            <w:r w:rsidRPr="002C16B2">
              <w:rPr>
                <w:i/>
                <w:sz w:val="24"/>
                <w:szCs w:val="24"/>
                <w:vertAlign w:val="superscript"/>
              </w:rPr>
              <w:t>th</w:t>
            </w:r>
            <w:r>
              <w:rPr>
                <w:i/>
                <w:sz w:val="24"/>
                <w:szCs w:val="24"/>
              </w:rPr>
              <w:t xml:space="preserve"> Quarter after Exit</w:t>
            </w:r>
          </w:p>
          <w:p w14:paraId="6270497B" w14:textId="77777777" w:rsidR="00C00454" w:rsidRPr="002C16B2" w:rsidRDefault="00C00454" w:rsidP="00C00454">
            <w:pPr>
              <w:cnfStyle w:val="000000100000" w:firstRow="0" w:lastRow="0" w:firstColumn="0" w:lastColumn="0" w:oddVBand="0" w:evenVBand="0" w:oddHBand="1" w:evenHBand="0" w:firstRowFirstColumn="0" w:firstRowLastColumn="0" w:lastRowFirstColumn="0" w:lastRowLastColumn="0"/>
              <w:rPr>
                <w:i/>
                <w:sz w:val="24"/>
                <w:szCs w:val="24"/>
              </w:rPr>
            </w:pPr>
          </w:p>
          <w:p w14:paraId="08BFCBE1"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State UI provides SVRA with the PY 2018 Q3 data </w:t>
            </w:r>
          </w:p>
          <w:p w14:paraId="40FD2232"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p>
          <w:p w14:paraId="4A15BF7D"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SVRA reports the PY 2018 Q3 data to RSA by November 15, 2019</w:t>
            </w:r>
          </w:p>
        </w:tc>
      </w:tr>
      <w:tr w:rsidR="00C00454" w14:paraId="768B22A9" w14:textId="77777777" w:rsidTr="002D297F">
        <w:trPr>
          <w:trHeight w:val="572"/>
        </w:trPr>
        <w:tc>
          <w:tcPr>
            <w:cnfStyle w:val="001000000000" w:firstRow="0" w:lastRow="0" w:firstColumn="1" w:lastColumn="0" w:oddVBand="0" w:evenVBand="0" w:oddHBand="0" w:evenHBand="0" w:firstRowFirstColumn="0" w:firstRowLastColumn="0" w:lastRowFirstColumn="0" w:lastRowLastColumn="0"/>
            <w:tcW w:w="818" w:type="dxa"/>
            <w:tcBorders>
              <w:left w:val="none" w:sz="0" w:space="0" w:color="auto"/>
            </w:tcBorders>
          </w:tcPr>
          <w:p w14:paraId="628980FA" w14:textId="77777777" w:rsidR="00C00454" w:rsidRPr="0035550C" w:rsidRDefault="00C00454" w:rsidP="00C00454">
            <w:pPr>
              <w:rPr>
                <w:sz w:val="24"/>
                <w:szCs w:val="24"/>
              </w:rPr>
            </w:pPr>
            <w:r>
              <w:rPr>
                <w:sz w:val="24"/>
                <w:szCs w:val="24"/>
              </w:rPr>
              <w:t>2019</w:t>
            </w:r>
          </w:p>
        </w:tc>
        <w:tc>
          <w:tcPr>
            <w:tcW w:w="991" w:type="dxa"/>
          </w:tcPr>
          <w:p w14:paraId="5025E21E" w14:textId="77777777" w:rsidR="00C00454"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Q2</w:t>
            </w:r>
          </w:p>
        </w:tc>
        <w:tc>
          <w:tcPr>
            <w:tcW w:w="991" w:type="dxa"/>
          </w:tcPr>
          <w:p w14:paraId="586076EF" w14:textId="77777777" w:rsidR="00C00454" w:rsidRPr="0035550C"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w:t>
            </w:r>
          </w:p>
        </w:tc>
        <w:tc>
          <w:tcPr>
            <w:tcW w:w="2199" w:type="dxa"/>
          </w:tcPr>
          <w:p w14:paraId="07BF8718" w14:textId="77777777" w:rsidR="00C00454" w:rsidRPr="0035550C"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December 31, 2019</w:t>
            </w:r>
          </w:p>
        </w:tc>
        <w:tc>
          <w:tcPr>
            <w:tcW w:w="2135" w:type="dxa"/>
          </w:tcPr>
          <w:p w14:paraId="59AE5625" w14:textId="77777777" w:rsidR="00C00454"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February 15, 2020</w:t>
            </w:r>
          </w:p>
        </w:tc>
        <w:tc>
          <w:tcPr>
            <w:tcW w:w="3537" w:type="dxa"/>
          </w:tcPr>
          <w:p w14:paraId="102BACA6" w14:textId="77777777" w:rsidR="00C00454" w:rsidRPr="0035550C" w:rsidRDefault="00C00454" w:rsidP="00C00454">
            <w:pP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Employers report wage data from PY 2019 Q1 to State UI</w:t>
            </w:r>
          </w:p>
        </w:tc>
      </w:tr>
      <w:tr w:rsidR="00C00454" w14:paraId="18BDB830" w14:textId="77777777" w:rsidTr="002D297F">
        <w:trPr>
          <w:cnfStyle w:val="000000100000" w:firstRow="0" w:lastRow="0" w:firstColumn="0" w:lastColumn="0" w:oddVBand="0" w:evenVBand="0" w:oddHBand="1" w:evenHBand="0" w:firstRowFirstColumn="0" w:firstRowLastColumn="0" w:lastRowFirstColumn="0" w:lastRowLastColumn="0"/>
          <w:trHeight w:val="2272"/>
        </w:trPr>
        <w:tc>
          <w:tcPr>
            <w:cnfStyle w:val="001000000000" w:firstRow="0" w:lastRow="0" w:firstColumn="1" w:lastColumn="0" w:oddVBand="0" w:evenVBand="0" w:oddHBand="0" w:evenHBand="0" w:firstRowFirstColumn="0" w:firstRowLastColumn="0" w:lastRowFirstColumn="0" w:lastRowLastColumn="0"/>
            <w:tcW w:w="818" w:type="dxa"/>
            <w:tcBorders>
              <w:left w:val="none" w:sz="0" w:space="0" w:color="auto"/>
              <w:bottom w:val="none" w:sz="0" w:space="0" w:color="auto"/>
            </w:tcBorders>
          </w:tcPr>
          <w:p w14:paraId="52BD9CBD" w14:textId="77777777" w:rsidR="00C00454" w:rsidRPr="0035550C" w:rsidRDefault="00C00454" w:rsidP="00C00454">
            <w:pPr>
              <w:rPr>
                <w:sz w:val="24"/>
                <w:szCs w:val="24"/>
              </w:rPr>
            </w:pPr>
            <w:r>
              <w:rPr>
                <w:sz w:val="24"/>
                <w:szCs w:val="24"/>
              </w:rPr>
              <w:t>2019</w:t>
            </w:r>
          </w:p>
        </w:tc>
        <w:tc>
          <w:tcPr>
            <w:tcW w:w="991" w:type="dxa"/>
          </w:tcPr>
          <w:p w14:paraId="4F32D580"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Q3</w:t>
            </w:r>
          </w:p>
        </w:tc>
        <w:tc>
          <w:tcPr>
            <w:tcW w:w="991" w:type="dxa"/>
          </w:tcPr>
          <w:p w14:paraId="6C357D58"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6</w:t>
            </w:r>
          </w:p>
        </w:tc>
        <w:tc>
          <w:tcPr>
            <w:tcW w:w="2199" w:type="dxa"/>
          </w:tcPr>
          <w:p w14:paraId="5B167DBF"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March 31, 2020</w:t>
            </w:r>
          </w:p>
        </w:tc>
        <w:tc>
          <w:tcPr>
            <w:tcW w:w="2135" w:type="dxa"/>
          </w:tcPr>
          <w:p w14:paraId="08E2EE11"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May 15, 2020</w:t>
            </w:r>
          </w:p>
        </w:tc>
        <w:tc>
          <w:tcPr>
            <w:tcW w:w="3537" w:type="dxa"/>
          </w:tcPr>
          <w:p w14:paraId="04D3C850"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State UI provides SVRA with the PY 2019 Q1 data </w:t>
            </w:r>
          </w:p>
          <w:p w14:paraId="4BB85923"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p>
          <w:p w14:paraId="7A4076C4"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 xml:space="preserve">SVRA reports the PY 2019 Q1 data to RSA by May 15, 2020 </w:t>
            </w:r>
          </w:p>
          <w:p w14:paraId="1619425B" w14:textId="77777777" w:rsidR="00C00454"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p>
          <w:p w14:paraId="621347FE" w14:textId="77777777" w:rsidR="00C00454" w:rsidRPr="0035550C" w:rsidRDefault="00C00454" w:rsidP="00C00454">
            <w:pP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SVRA reporting on this participant concludes</w:t>
            </w:r>
          </w:p>
        </w:tc>
      </w:tr>
    </w:tbl>
    <w:p w14:paraId="6288C6C9" w14:textId="6ECE7158" w:rsidR="00C00454" w:rsidRPr="00C00454" w:rsidRDefault="00C00454" w:rsidP="006538A9">
      <w:pPr>
        <w:pStyle w:val="ListParagraph"/>
        <w:numPr>
          <w:ilvl w:val="0"/>
          <w:numId w:val="4"/>
        </w:numPr>
        <w:spacing w:after="0"/>
        <w:rPr>
          <w:b/>
          <w:sz w:val="24"/>
          <w:szCs w:val="24"/>
        </w:rPr>
      </w:pPr>
      <w:r w:rsidRPr="00F32585">
        <w:rPr>
          <w:b/>
          <w:sz w:val="24"/>
          <w:szCs w:val="24"/>
        </w:rPr>
        <w:t>Due to the lag in receiving Unemployment Insurance (UI) wage data, SVRAs will be two quarters behind reporting this data for Employment Rate 2</w:t>
      </w:r>
      <w:r w:rsidRPr="00F32585">
        <w:rPr>
          <w:b/>
          <w:sz w:val="24"/>
          <w:szCs w:val="24"/>
          <w:vertAlign w:val="superscript"/>
        </w:rPr>
        <w:t>nd</w:t>
      </w:r>
      <w:r w:rsidRPr="00F32585">
        <w:rPr>
          <w:b/>
          <w:sz w:val="24"/>
          <w:szCs w:val="24"/>
        </w:rPr>
        <w:t xml:space="preserve"> Quarter after Exit, Median Earnings 2</w:t>
      </w:r>
      <w:r w:rsidRPr="00F32585">
        <w:rPr>
          <w:b/>
          <w:sz w:val="24"/>
          <w:szCs w:val="24"/>
          <w:vertAlign w:val="superscript"/>
        </w:rPr>
        <w:t>nd</w:t>
      </w:r>
      <w:r w:rsidRPr="00F32585">
        <w:rPr>
          <w:b/>
          <w:sz w:val="24"/>
          <w:szCs w:val="24"/>
        </w:rPr>
        <w:t xml:space="preserve"> Quarter after Exit and Employment Rate 4</w:t>
      </w:r>
      <w:r w:rsidRPr="00F32585">
        <w:rPr>
          <w:b/>
          <w:sz w:val="24"/>
          <w:szCs w:val="24"/>
          <w:vertAlign w:val="superscript"/>
        </w:rPr>
        <w:t>th</w:t>
      </w:r>
      <w:r w:rsidRPr="00F32585">
        <w:rPr>
          <w:b/>
          <w:sz w:val="24"/>
          <w:szCs w:val="24"/>
        </w:rPr>
        <w:t xml:space="preserve"> Quarter after Exit. How long do SVRAs have to report after a participant exits the VR Program?</w:t>
      </w:r>
    </w:p>
    <w:p w14:paraId="1A1A471C" w14:textId="11BF06FA" w:rsidR="004E7F1E" w:rsidRDefault="00C00454" w:rsidP="004E7F1E">
      <w:pPr>
        <w:pStyle w:val="ListParagraph"/>
        <w:spacing w:before="120"/>
        <w:ind w:left="360"/>
        <w:contextualSpacing w:val="0"/>
        <w:rPr>
          <w:sz w:val="24"/>
          <w:szCs w:val="24"/>
        </w:rPr>
      </w:pPr>
      <w:r>
        <w:rPr>
          <w:sz w:val="24"/>
          <w:szCs w:val="24"/>
        </w:rPr>
        <w:t xml:space="preserve">If a participant exits the VR program on September 15, 2018, the participant exited during PY 2018 Q1, which ends on September 30, 2018. The SVRA must collect and report information on this participant for </w:t>
      </w:r>
      <w:r w:rsidRPr="00942F93">
        <w:rPr>
          <w:b/>
          <w:sz w:val="24"/>
          <w:szCs w:val="24"/>
        </w:rPr>
        <w:t>six full quarters</w:t>
      </w:r>
      <w:r w:rsidR="00D7079D">
        <w:rPr>
          <w:sz w:val="24"/>
          <w:szCs w:val="24"/>
        </w:rPr>
        <w:t xml:space="preserve"> —</w:t>
      </w:r>
      <w:r>
        <w:rPr>
          <w:sz w:val="24"/>
          <w:szCs w:val="24"/>
        </w:rPr>
        <w:t xml:space="preserve"> through the end of PY 2019 Q3. </w:t>
      </w:r>
    </w:p>
    <w:p w14:paraId="51593635" w14:textId="687B57EB" w:rsidR="004E7F1E" w:rsidRDefault="00C00454" w:rsidP="004E7F1E">
      <w:pPr>
        <w:pStyle w:val="ListParagraph"/>
        <w:spacing w:before="120"/>
        <w:ind w:left="360"/>
        <w:contextualSpacing w:val="0"/>
        <w:rPr>
          <w:sz w:val="24"/>
          <w:szCs w:val="24"/>
        </w:rPr>
      </w:pPr>
      <w:r>
        <w:rPr>
          <w:sz w:val="24"/>
          <w:szCs w:val="24"/>
        </w:rPr>
        <w:t>Due to the two</w:t>
      </w:r>
      <w:r w:rsidR="00D7079D">
        <w:rPr>
          <w:sz w:val="24"/>
          <w:szCs w:val="24"/>
        </w:rPr>
        <w:t>-</w:t>
      </w:r>
      <w:r>
        <w:rPr>
          <w:sz w:val="24"/>
          <w:szCs w:val="24"/>
        </w:rPr>
        <w:t>quarter lag, the SVRA receives the PY 2018 Q3 data, which reflects the participant’s employment in the 2</w:t>
      </w:r>
      <w:r w:rsidRPr="00597D36">
        <w:rPr>
          <w:sz w:val="24"/>
          <w:szCs w:val="24"/>
          <w:vertAlign w:val="superscript"/>
        </w:rPr>
        <w:t>nd</w:t>
      </w:r>
      <w:r>
        <w:rPr>
          <w:sz w:val="24"/>
          <w:szCs w:val="24"/>
        </w:rPr>
        <w:t xml:space="preserve"> Quarter after Exit and Median </w:t>
      </w:r>
      <w:bookmarkStart w:id="0" w:name="_GoBack"/>
      <w:bookmarkEnd w:id="0"/>
      <w:r>
        <w:rPr>
          <w:sz w:val="24"/>
          <w:szCs w:val="24"/>
        </w:rPr>
        <w:t>Earnings in the 2</w:t>
      </w:r>
      <w:r w:rsidRPr="00597D36">
        <w:rPr>
          <w:sz w:val="24"/>
          <w:szCs w:val="24"/>
          <w:vertAlign w:val="superscript"/>
        </w:rPr>
        <w:t>nd</w:t>
      </w:r>
      <w:r>
        <w:rPr>
          <w:sz w:val="24"/>
          <w:szCs w:val="24"/>
        </w:rPr>
        <w:t xml:space="preserve"> Quarter after Exit, in PY 2019 Q1; the SVRA then reports this data in the quarterly report due to RSA by November 15, 2019. </w:t>
      </w:r>
    </w:p>
    <w:p w14:paraId="77F89013" w14:textId="0EE5C12B" w:rsidR="00C00454" w:rsidRDefault="00C00454" w:rsidP="004E7F1E">
      <w:pPr>
        <w:pStyle w:val="ListParagraph"/>
        <w:spacing w:before="120"/>
        <w:ind w:left="360"/>
        <w:contextualSpacing w:val="0"/>
        <w:rPr>
          <w:sz w:val="24"/>
          <w:szCs w:val="24"/>
        </w:rPr>
      </w:pPr>
      <w:r>
        <w:rPr>
          <w:sz w:val="24"/>
          <w:szCs w:val="24"/>
        </w:rPr>
        <w:t>Similarly, the SVRA receives the PY 2019 Q1 data, which reflects the participant’s employment in the 4</w:t>
      </w:r>
      <w:r w:rsidRPr="00597D36">
        <w:rPr>
          <w:sz w:val="24"/>
          <w:szCs w:val="24"/>
          <w:vertAlign w:val="superscript"/>
        </w:rPr>
        <w:t>th</w:t>
      </w:r>
      <w:r>
        <w:rPr>
          <w:sz w:val="24"/>
          <w:szCs w:val="24"/>
        </w:rPr>
        <w:t xml:space="preserve"> Quarter after Exit, in PY 2019 Q3; the SVRA then reports this data in the quarterly report due to RSA by May 15, 2020. </w:t>
      </w:r>
    </w:p>
    <w:sectPr w:rsidR="00C00454" w:rsidSect="004E7F1E">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8CFA75" w14:textId="77777777" w:rsidR="002474BF" w:rsidRDefault="002474BF" w:rsidP="008A0066">
      <w:pPr>
        <w:spacing w:after="0" w:line="240" w:lineRule="auto"/>
      </w:pPr>
      <w:r>
        <w:separator/>
      </w:r>
    </w:p>
  </w:endnote>
  <w:endnote w:type="continuationSeparator" w:id="0">
    <w:p w14:paraId="748C70B0" w14:textId="77777777" w:rsidR="002474BF" w:rsidRDefault="002474BF" w:rsidP="008A0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F3271" w14:textId="7BA830C7" w:rsidR="006538A9" w:rsidRDefault="006538A9" w:rsidP="006538A9">
    <w:pPr>
      <w:pStyle w:val="Footer"/>
      <w:jc w:val="center"/>
    </w:pPr>
    <w:r>
      <w:rPr>
        <w:noProof/>
      </w:rPr>
      <mc:AlternateContent>
        <mc:Choice Requires="wpg">
          <w:drawing>
            <wp:anchor distT="0" distB="0" distL="114300" distR="114300" simplePos="0" relativeHeight="251659264" behindDoc="0" locked="0" layoutInCell="1" allowOverlap="1" wp14:anchorId="5A3285C0" wp14:editId="22234F2C">
              <wp:simplePos x="0" y="0"/>
              <wp:positionH relativeFrom="page">
                <wp:posOffset>-469900</wp:posOffset>
              </wp:positionH>
              <wp:positionV relativeFrom="bottomMargin">
                <wp:posOffset>466725</wp:posOffset>
              </wp:positionV>
              <wp:extent cx="7842250" cy="353695"/>
              <wp:effectExtent l="0" t="0" r="0" b="0"/>
              <wp:wrapNone/>
              <wp:docPr id="164" name="Group 164" descr="Footer text: See FAQs at www.wintac.org for more information." title="Footer text"/>
              <wp:cNvGraphicFramePr/>
              <a:graphic xmlns:a="http://schemas.openxmlformats.org/drawingml/2006/main">
                <a:graphicData uri="http://schemas.microsoft.com/office/word/2010/wordprocessingGroup">
                  <wpg:wgp>
                    <wpg:cNvGrpSpPr/>
                    <wpg:grpSpPr>
                      <a:xfrm>
                        <a:off x="0" y="0"/>
                        <a:ext cx="7842250" cy="353695"/>
                        <a:chOff x="-1562100" y="244475"/>
                        <a:chExt cx="7842250" cy="353695"/>
                      </a:xfrm>
                    </wpg:grpSpPr>
                    <wps:wsp>
                      <wps:cNvPr id="165" name="Rectangle 165"/>
                      <wps:cNvSpPr/>
                      <wps:spPr>
                        <a:xfrm>
                          <a:off x="336550" y="32385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1562100" y="24447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C8D4CE" w14:textId="5EE8CDED" w:rsidR="006538A9" w:rsidRPr="00CC244A" w:rsidRDefault="002474BF">
                            <w:pPr>
                              <w:pStyle w:val="Footer"/>
                              <w:tabs>
                                <w:tab w:val="clear" w:pos="4680"/>
                                <w:tab w:val="clear" w:pos="9360"/>
                              </w:tabs>
                              <w:jc w:val="right"/>
                            </w:pPr>
                            <w:sdt>
                              <w:sdtPr>
                                <w:rPr>
                                  <w:caps/>
                                  <w:color w:val="000000" w:themeColor="text1"/>
                                  <w:sz w:val="20"/>
                                  <w:szCs w:val="20"/>
                                  <w:u w:val="single"/>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255BF" w:rsidRPr="00CC244A">
                                  <w:rPr>
                                    <w:caps/>
                                    <w:color w:val="000000" w:themeColor="text1"/>
                                    <w:sz w:val="20"/>
                                    <w:szCs w:val="20"/>
                                    <w:u w:val="single"/>
                                  </w:rPr>
                                  <w:t>See faq’s a</w:t>
                                </w:r>
                                <w:r w:rsidR="003255BF">
                                  <w:rPr>
                                    <w:caps/>
                                    <w:color w:val="000000" w:themeColor="text1"/>
                                    <w:sz w:val="20"/>
                                    <w:szCs w:val="20"/>
                                    <w:u w:val="single"/>
                                  </w:rPr>
                                  <w:t>t www.wintac.org for more infor</w:t>
                                </w:r>
                                <w:r w:rsidR="003255BF" w:rsidRPr="00CC244A">
                                  <w:rPr>
                                    <w:caps/>
                                    <w:color w:val="000000" w:themeColor="text1"/>
                                    <w:sz w:val="20"/>
                                    <w:szCs w:val="20"/>
                                    <w:u w:val="single"/>
                                  </w:rPr>
                                  <w:t>m</w:t>
                                </w:r>
                                <w:r w:rsidR="003255BF">
                                  <w:rPr>
                                    <w:caps/>
                                    <w:color w:val="000000" w:themeColor="text1"/>
                                    <w:sz w:val="20"/>
                                    <w:szCs w:val="20"/>
                                    <w:u w:val="single"/>
                                  </w:rPr>
                                  <w:t>A</w:t>
                                </w:r>
                                <w:r w:rsidR="003255BF" w:rsidRPr="00CC244A">
                                  <w:rPr>
                                    <w:caps/>
                                    <w:color w:val="000000" w:themeColor="text1"/>
                                    <w:sz w:val="20"/>
                                    <w:szCs w:val="20"/>
                                    <w:u w:val="single"/>
                                  </w:rPr>
                                  <w:t>tion</w:t>
                                </w:r>
                              </w:sdtContent>
                            </w:sdt>
                            <w:r w:rsidR="006538A9" w:rsidRPr="00CC244A">
                              <w:rPr>
                                <w:caps/>
                                <w:sz w:val="20"/>
                                <w:szCs w:val="20"/>
                              </w:rPr>
                              <w:t>  </w:t>
                            </w:r>
                            <w:sdt>
                              <w:sdtPr>
                                <w:rPr>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E36AB0">
                                  <w:rPr>
                                    <w:sz w:val="20"/>
                                    <w:szCs w:val="2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5A3285C0" id="Group 164" o:spid="_x0000_s1026" alt="Title: Footer text - Description: Footer text: See FAQs at www.wintac.org for more information." style="position:absolute;left:0;text-align:left;margin-left:-37pt;margin-top:36.75pt;width:617.5pt;height:27.85pt;z-index:251659264;mso-position-horizontal-relative:page;mso-position-vertical-relative:bottom-margin-area;mso-width-relative:margin;mso-height-relative:margin" coordorigin="-15621,2444" coordsize="78422,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">
              <v:rect id="Rectangle 165" o:spid="_x0000_s1027" style="position:absolute;left:3365;top:3238;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left:-15621;top:2444;width:59436;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07C8D4CE" w14:textId="5EE8CDED" w:rsidR="006538A9" w:rsidRPr="00CC244A" w:rsidRDefault="002474BF">
                      <w:pPr>
                        <w:pStyle w:val="Footer"/>
                        <w:tabs>
                          <w:tab w:val="clear" w:pos="4680"/>
                          <w:tab w:val="clear" w:pos="9360"/>
                        </w:tabs>
                        <w:jc w:val="right"/>
                      </w:pPr>
                      <w:sdt>
                        <w:sdtPr>
                          <w:rPr>
                            <w:caps/>
                            <w:color w:val="000000" w:themeColor="text1"/>
                            <w:sz w:val="20"/>
                            <w:szCs w:val="20"/>
                            <w:u w:val="single"/>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3255BF" w:rsidRPr="00CC244A">
                            <w:rPr>
                              <w:caps/>
                              <w:color w:val="000000" w:themeColor="text1"/>
                              <w:sz w:val="20"/>
                              <w:szCs w:val="20"/>
                              <w:u w:val="single"/>
                            </w:rPr>
                            <w:t>See faq’s a</w:t>
                          </w:r>
                          <w:r w:rsidR="003255BF">
                            <w:rPr>
                              <w:caps/>
                              <w:color w:val="000000" w:themeColor="text1"/>
                              <w:sz w:val="20"/>
                              <w:szCs w:val="20"/>
                              <w:u w:val="single"/>
                            </w:rPr>
                            <w:t>t www.wintac.org for more infor</w:t>
                          </w:r>
                          <w:r w:rsidR="003255BF" w:rsidRPr="00CC244A">
                            <w:rPr>
                              <w:caps/>
                              <w:color w:val="000000" w:themeColor="text1"/>
                              <w:sz w:val="20"/>
                              <w:szCs w:val="20"/>
                              <w:u w:val="single"/>
                            </w:rPr>
                            <w:t>m</w:t>
                          </w:r>
                          <w:r w:rsidR="003255BF">
                            <w:rPr>
                              <w:caps/>
                              <w:color w:val="000000" w:themeColor="text1"/>
                              <w:sz w:val="20"/>
                              <w:szCs w:val="20"/>
                              <w:u w:val="single"/>
                            </w:rPr>
                            <w:t>A</w:t>
                          </w:r>
                          <w:r w:rsidR="003255BF" w:rsidRPr="00CC244A">
                            <w:rPr>
                              <w:caps/>
                              <w:color w:val="000000" w:themeColor="text1"/>
                              <w:sz w:val="20"/>
                              <w:szCs w:val="20"/>
                              <w:u w:val="single"/>
                            </w:rPr>
                            <w:t>tion</w:t>
                          </w:r>
                        </w:sdtContent>
                      </w:sdt>
                      <w:r w:rsidR="006538A9" w:rsidRPr="00CC244A">
                        <w:rPr>
                          <w:caps/>
                          <w:sz w:val="20"/>
                          <w:szCs w:val="20"/>
                        </w:rPr>
                        <w:t>  </w:t>
                      </w:r>
                      <w:sdt>
                        <w:sdtPr>
                          <w:rPr>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E36AB0">
                            <w:rPr>
                              <w:sz w:val="20"/>
                              <w:szCs w:val="20"/>
                            </w:rPr>
                            <w:t xml:space="preserve">     </w:t>
                          </w:r>
                        </w:sdtContent>
                      </w:sdt>
                    </w:p>
                  </w:txbxContent>
                </v:textbox>
              </v:shape>
              <w10:wrap anchorx="page" anchory="margin"/>
            </v:group>
          </w:pict>
        </mc:Fallback>
      </mc:AlternateContent>
    </w:r>
    <w:r>
      <w:rPr>
        <w:noProof/>
      </w:rPr>
      <w:drawing>
        <wp:inline distT="0" distB="0" distL="0" distR="0" wp14:anchorId="1F609880" wp14:editId="30D14468">
          <wp:extent cx="1611109" cy="437546"/>
          <wp:effectExtent l="0" t="0" r="8255" b="635"/>
          <wp:docPr id="1" name="Picture 1" descr="WINT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INTAC 3.jpg"/>
                  <pic:cNvPicPr/>
                </pic:nvPicPr>
                <pic:blipFill>
                  <a:blip r:embed="rId1">
                    <a:extLst>
                      <a:ext uri="{28A0092B-C50C-407E-A947-70E740481C1C}">
                        <a14:useLocalDpi xmlns:a14="http://schemas.microsoft.com/office/drawing/2010/main" val="0"/>
                      </a:ext>
                    </a:extLst>
                  </a:blip>
                  <a:stretch>
                    <a:fillRect/>
                  </a:stretch>
                </pic:blipFill>
                <pic:spPr>
                  <a:xfrm>
                    <a:off x="0" y="0"/>
                    <a:ext cx="1643717" cy="44640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249CFD" w14:textId="77777777" w:rsidR="002474BF" w:rsidRDefault="002474BF" w:rsidP="008A0066">
      <w:pPr>
        <w:spacing w:after="0" w:line="240" w:lineRule="auto"/>
      </w:pPr>
      <w:r>
        <w:separator/>
      </w:r>
    </w:p>
  </w:footnote>
  <w:footnote w:type="continuationSeparator" w:id="0">
    <w:p w14:paraId="3D0A5D60" w14:textId="77777777" w:rsidR="002474BF" w:rsidRDefault="002474BF" w:rsidP="008A00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53621" w14:textId="22B1ED18" w:rsidR="008A0066" w:rsidRDefault="008A0066" w:rsidP="008A0066">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www.wintac.org/sites/default/files/img/Witac-logo_bullet.png" style="width:20.25pt;height:20.25pt;visibility:visible;mso-wrap-style:square" o:bullet="t">
        <v:imagedata r:id="rId1" o:title="Witac-logo_bullet"/>
      </v:shape>
    </w:pict>
  </w:numPicBullet>
  <w:abstractNum w:abstractNumId="0" w15:restartNumberingAfterBreak="0">
    <w:nsid w:val="04224B33"/>
    <w:multiLevelType w:val="hybridMultilevel"/>
    <w:tmpl w:val="CE7AA31A"/>
    <w:lvl w:ilvl="0" w:tplc="B81469C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D23DC"/>
    <w:multiLevelType w:val="hybridMultilevel"/>
    <w:tmpl w:val="D7DE12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E001CA6"/>
    <w:multiLevelType w:val="hybridMultilevel"/>
    <w:tmpl w:val="AABC8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7313FF"/>
    <w:multiLevelType w:val="hybridMultilevel"/>
    <w:tmpl w:val="C4569016"/>
    <w:lvl w:ilvl="0" w:tplc="0C6284B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9817D0D"/>
    <w:multiLevelType w:val="multilevel"/>
    <w:tmpl w:val="6AB880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77335D"/>
    <w:multiLevelType w:val="multilevel"/>
    <w:tmpl w:val="50400A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A20766"/>
    <w:multiLevelType w:val="hybridMultilevel"/>
    <w:tmpl w:val="9892C820"/>
    <w:lvl w:ilvl="0" w:tplc="2D6252DA">
      <w:start w:val="1"/>
      <w:numFmt w:val="decimal"/>
      <w:lvlText w:val="%1."/>
      <w:lvlJc w:val="left"/>
      <w:pPr>
        <w:ind w:left="720" w:hanging="360"/>
      </w:pPr>
      <w:rPr>
        <w:b w:val="0"/>
      </w:rPr>
    </w:lvl>
    <w:lvl w:ilvl="1" w:tplc="76D4005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6215B0"/>
    <w:multiLevelType w:val="multilevel"/>
    <w:tmpl w:val="6090E0A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8" w15:restartNumberingAfterBreak="0">
    <w:nsid w:val="32D60956"/>
    <w:multiLevelType w:val="hybridMultilevel"/>
    <w:tmpl w:val="8684FBB8"/>
    <w:lvl w:ilvl="0" w:tplc="86FC0B10">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3A21C08"/>
    <w:multiLevelType w:val="hybridMultilevel"/>
    <w:tmpl w:val="0CB8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5A67D9"/>
    <w:multiLevelType w:val="hybridMultilevel"/>
    <w:tmpl w:val="90302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985B20"/>
    <w:multiLevelType w:val="hybridMultilevel"/>
    <w:tmpl w:val="3F04D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B294F"/>
    <w:multiLevelType w:val="hybridMultilevel"/>
    <w:tmpl w:val="E886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0D0D79"/>
    <w:multiLevelType w:val="hybridMultilevel"/>
    <w:tmpl w:val="ECD660EE"/>
    <w:lvl w:ilvl="0" w:tplc="02CCA00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AC142C6"/>
    <w:multiLevelType w:val="hybridMultilevel"/>
    <w:tmpl w:val="66509D66"/>
    <w:lvl w:ilvl="0" w:tplc="0409000F">
      <w:start w:val="1"/>
      <w:numFmt w:val="decimal"/>
      <w:lvlText w:val="%1."/>
      <w:lvlJc w:val="left"/>
      <w:pPr>
        <w:ind w:left="720" w:hanging="360"/>
      </w:pPr>
      <w:rPr>
        <w:rFonts w:hint="default"/>
      </w:rPr>
    </w:lvl>
    <w:lvl w:ilvl="1" w:tplc="CC542A18">
      <w:start w:val="1"/>
      <w:numFmt w:val="lowerLetter"/>
      <w:lvlText w:val="%2."/>
      <w:lvlJc w:val="left"/>
      <w:pPr>
        <w:ind w:left="1440" w:hanging="360"/>
      </w:pPr>
      <w:rPr>
        <w:color w:val="FF000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461E14"/>
    <w:multiLevelType w:val="multilevel"/>
    <w:tmpl w:val="1B4C7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AC4B67"/>
    <w:multiLevelType w:val="hybridMultilevel"/>
    <w:tmpl w:val="E9142A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9"/>
  </w:num>
  <w:num w:numId="2">
    <w:abstractNumId w:val="15"/>
  </w:num>
  <w:num w:numId="3">
    <w:abstractNumId w:val="10"/>
  </w:num>
  <w:num w:numId="4">
    <w:abstractNumId w:val="3"/>
  </w:num>
  <w:num w:numId="5">
    <w:abstractNumId w:val="11"/>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7"/>
  </w:num>
  <w:num w:numId="10">
    <w:abstractNumId w:val="16"/>
  </w:num>
  <w:num w:numId="11">
    <w:abstractNumId w:val="14"/>
  </w:num>
  <w:num w:numId="12">
    <w:abstractNumId w:val="6"/>
  </w:num>
  <w:num w:numId="13">
    <w:abstractNumId w:val="0"/>
  </w:num>
  <w:num w:numId="14">
    <w:abstractNumId w:val="8"/>
  </w:num>
  <w:num w:numId="15">
    <w:abstractNumId w:val="1"/>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CD6"/>
    <w:rsid w:val="00002786"/>
    <w:rsid w:val="000408EB"/>
    <w:rsid w:val="0008452D"/>
    <w:rsid w:val="000A4E80"/>
    <w:rsid w:val="000B4B8C"/>
    <w:rsid w:val="000D68D2"/>
    <w:rsid w:val="000F0B33"/>
    <w:rsid w:val="0012701A"/>
    <w:rsid w:val="00144B10"/>
    <w:rsid w:val="00145D1D"/>
    <w:rsid w:val="00147FBC"/>
    <w:rsid w:val="001560B9"/>
    <w:rsid w:val="001D4867"/>
    <w:rsid w:val="001E63A9"/>
    <w:rsid w:val="001F6734"/>
    <w:rsid w:val="00222F9B"/>
    <w:rsid w:val="00242D4A"/>
    <w:rsid w:val="002474BF"/>
    <w:rsid w:val="00263111"/>
    <w:rsid w:val="002A5B4F"/>
    <w:rsid w:val="002A75C2"/>
    <w:rsid w:val="002B4E5F"/>
    <w:rsid w:val="002D297F"/>
    <w:rsid w:val="003110E7"/>
    <w:rsid w:val="003255BF"/>
    <w:rsid w:val="00380260"/>
    <w:rsid w:val="003B597A"/>
    <w:rsid w:val="003C63D0"/>
    <w:rsid w:val="003E2F2B"/>
    <w:rsid w:val="004E7F1E"/>
    <w:rsid w:val="00500658"/>
    <w:rsid w:val="0051222C"/>
    <w:rsid w:val="0056036B"/>
    <w:rsid w:val="00571FF6"/>
    <w:rsid w:val="005A52DA"/>
    <w:rsid w:val="005E0E63"/>
    <w:rsid w:val="005E1677"/>
    <w:rsid w:val="006538A9"/>
    <w:rsid w:val="00672B5B"/>
    <w:rsid w:val="006D028D"/>
    <w:rsid w:val="006D2F9E"/>
    <w:rsid w:val="006E6D52"/>
    <w:rsid w:val="00712508"/>
    <w:rsid w:val="007C39CD"/>
    <w:rsid w:val="008432FC"/>
    <w:rsid w:val="00850CD6"/>
    <w:rsid w:val="008A0066"/>
    <w:rsid w:val="008A7CEA"/>
    <w:rsid w:val="008F218F"/>
    <w:rsid w:val="00902400"/>
    <w:rsid w:val="0090493A"/>
    <w:rsid w:val="00941D98"/>
    <w:rsid w:val="00942F93"/>
    <w:rsid w:val="00976E39"/>
    <w:rsid w:val="00992110"/>
    <w:rsid w:val="009B32A4"/>
    <w:rsid w:val="00A06527"/>
    <w:rsid w:val="00A54711"/>
    <w:rsid w:val="00A73EF5"/>
    <w:rsid w:val="00AE41CF"/>
    <w:rsid w:val="00B11306"/>
    <w:rsid w:val="00B5424F"/>
    <w:rsid w:val="00C00454"/>
    <w:rsid w:val="00C0401B"/>
    <w:rsid w:val="00C04203"/>
    <w:rsid w:val="00C32AC3"/>
    <w:rsid w:val="00C532F7"/>
    <w:rsid w:val="00C83B29"/>
    <w:rsid w:val="00C93697"/>
    <w:rsid w:val="00CA19F4"/>
    <w:rsid w:val="00CC244A"/>
    <w:rsid w:val="00CC7949"/>
    <w:rsid w:val="00CE32C5"/>
    <w:rsid w:val="00D13820"/>
    <w:rsid w:val="00D256C3"/>
    <w:rsid w:val="00D371A1"/>
    <w:rsid w:val="00D416C8"/>
    <w:rsid w:val="00D7079D"/>
    <w:rsid w:val="00E06858"/>
    <w:rsid w:val="00E218B3"/>
    <w:rsid w:val="00E36AB0"/>
    <w:rsid w:val="00E70D56"/>
    <w:rsid w:val="00E83D13"/>
    <w:rsid w:val="00EF7934"/>
    <w:rsid w:val="00F731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2B7BDC"/>
  <w15:chartTrackingRefBased/>
  <w15:docId w15:val="{EC3D50D1-41FA-490E-99D8-236920734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CD6"/>
  </w:style>
  <w:style w:type="paragraph" w:styleId="Heading1">
    <w:name w:val="heading 1"/>
    <w:basedOn w:val="Heading4"/>
    <w:next w:val="Normal"/>
    <w:link w:val="Heading1Char"/>
    <w:uiPriority w:val="9"/>
    <w:qFormat/>
    <w:rsid w:val="00147FBC"/>
    <w:pPr>
      <w:shd w:val="clear" w:color="auto" w:fill="FFFFFF"/>
      <w:spacing w:before="150" w:after="150"/>
      <w:outlineLvl w:val="0"/>
    </w:pPr>
    <w:rPr>
      <w:rFonts w:asciiTheme="minorHAnsi" w:hAnsiTheme="minorHAnsi" w:cs="Helvetica"/>
      <w:color w:val="004482"/>
      <w:sz w:val="27"/>
      <w:szCs w:val="27"/>
    </w:rPr>
  </w:style>
  <w:style w:type="paragraph" w:styleId="Heading4">
    <w:name w:val="heading 4"/>
    <w:basedOn w:val="Normal"/>
    <w:next w:val="Normal"/>
    <w:link w:val="Heading4Char"/>
    <w:uiPriority w:val="9"/>
    <w:unhideWhenUsed/>
    <w:qFormat/>
    <w:rsid w:val="00CA19F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FBC"/>
    <w:rPr>
      <w:rFonts w:eastAsiaTheme="majorEastAsia" w:cs="Helvetica"/>
      <w:i/>
      <w:iCs/>
      <w:color w:val="004482"/>
      <w:sz w:val="27"/>
      <w:szCs w:val="27"/>
      <w:shd w:val="clear" w:color="auto" w:fill="FFFFFF"/>
    </w:rPr>
  </w:style>
  <w:style w:type="character" w:styleId="Emphasis">
    <w:name w:val="Emphasis"/>
    <w:basedOn w:val="DefaultParagraphFont"/>
    <w:uiPriority w:val="20"/>
    <w:qFormat/>
    <w:rsid w:val="00850CD6"/>
    <w:rPr>
      <w:i/>
      <w:iCs/>
    </w:rPr>
  </w:style>
  <w:style w:type="paragraph" w:styleId="ListParagraph">
    <w:name w:val="List Paragraph"/>
    <w:basedOn w:val="Normal"/>
    <w:uiPriority w:val="34"/>
    <w:qFormat/>
    <w:rsid w:val="00850CD6"/>
    <w:pPr>
      <w:ind w:left="720"/>
      <w:contextualSpacing/>
    </w:pPr>
  </w:style>
  <w:style w:type="character" w:customStyle="1" w:styleId="Heading4Char">
    <w:name w:val="Heading 4 Char"/>
    <w:basedOn w:val="DefaultParagraphFont"/>
    <w:link w:val="Heading4"/>
    <w:uiPriority w:val="9"/>
    <w:rsid w:val="00CA19F4"/>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A19F4"/>
    <w:rPr>
      <w:b/>
      <w:bCs/>
    </w:rPr>
  </w:style>
  <w:style w:type="paragraph" w:styleId="NormalWeb">
    <w:name w:val="Normal (Web)"/>
    <w:basedOn w:val="Normal"/>
    <w:uiPriority w:val="99"/>
    <w:semiHidden/>
    <w:unhideWhenUsed/>
    <w:rsid w:val="00CA19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A19F4"/>
  </w:style>
  <w:style w:type="character" w:styleId="Hyperlink">
    <w:name w:val="Hyperlink"/>
    <w:basedOn w:val="DefaultParagraphFont"/>
    <w:uiPriority w:val="99"/>
    <w:unhideWhenUsed/>
    <w:rsid w:val="00CA19F4"/>
    <w:rPr>
      <w:color w:val="0000FF"/>
      <w:u w:val="single"/>
    </w:rPr>
  </w:style>
  <w:style w:type="paragraph" w:styleId="BalloonText">
    <w:name w:val="Balloon Text"/>
    <w:basedOn w:val="Normal"/>
    <w:link w:val="BalloonTextChar"/>
    <w:uiPriority w:val="99"/>
    <w:semiHidden/>
    <w:unhideWhenUsed/>
    <w:rsid w:val="00571F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1FF6"/>
    <w:rPr>
      <w:rFonts w:ascii="Segoe UI" w:hAnsi="Segoe UI" w:cs="Segoe UI"/>
      <w:sz w:val="18"/>
      <w:szCs w:val="18"/>
    </w:rPr>
  </w:style>
  <w:style w:type="character" w:styleId="FollowedHyperlink">
    <w:name w:val="FollowedHyperlink"/>
    <w:basedOn w:val="DefaultParagraphFont"/>
    <w:uiPriority w:val="99"/>
    <w:semiHidden/>
    <w:unhideWhenUsed/>
    <w:rsid w:val="00C93697"/>
    <w:rPr>
      <w:color w:val="954F72" w:themeColor="followedHyperlink"/>
      <w:u w:val="single"/>
    </w:rPr>
  </w:style>
  <w:style w:type="character" w:styleId="CommentReference">
    <w:name w:val="annotation reference"/>
    <w:basedOn w:val="DefaultParagraphFont"/>
    <w:uiPriority w:val="99"/>
    <w:semiHidden/>
    <w:unhideWhenUsed/>
    <w:rsid w:val="008F218F"/>
    <w:rPr>
      <w:sz w:val="16"/>
      <w:szCs w:val="16"/>
    </w:rPr>
  </w:style>
  <w:style w:type="paragraph" w:styleId="CommentText">
    <w:name w:val="annotation text"/>
    <w:basedOn w:val="Normal"/>
    <w:link w:val="CommentTextChar"/>
    <w:uiPriority w:val="99"/>
    <w:semiHidden/>
    <w:unhideWhenUsed/>
    <w:rsid w:val="008F218F"/>
    <w:pPr>
      <w:spacing w:line="240" w:lineRule="auto"/>
    </w:pPr>
    <w:rPr>
      <w:sz w:val="20"/>
      <w:szCs w:val="20"/>
    </w:rPr>
  </w:style>
  <w:style w:type="character" w:customStyle="1" w:styleId="CommentTextChar">
    <w:name w:val="Comment Text Char"/>
    <w:basedOn w:val="DefaultParagraphFont"/>
    <w:link w:val="CommentText"/>
    <w:uiPriority w:val="99"/>
    <w:semiHidden/>
    <w:rsid w:val="008F218F"/>
    <w:rPr>
      <w:sz w:val="20"/>
      <w:szCs w:val="20"/>
    </w:rPr>
  </w:style>
  <w:style w:type="table" w:styleId="GridTable5Dark-Accent6">
    <w:name w:val="Grid Table 5 Dark Accent 6"/>
    <w:basedOn w:val="TableNormal"/>
    <w:uiPriority w:val="50"/>
    <w:rsid w:val="00D41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5Dark-Accent1">
    <w:name w:val="Grid Table 5 Dark Accent 1"/>
    <w:basedOn w:val="TableNormal"/>
    <w:uiPriority w:val="50"/>
    <w:rsid w:val="00D416C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tle">
    <w:name w:val="Title"/>
    <w:basedOn w:val="Heading1"/>
    <w:next w:val="Normal"/>
    <w:link w:val="TitleChar"/>
    <w:uiPriority w:val="10"/>
    <w:qFormat/>
    <w:rsid w:val="00E36AB0"/>
    <w:pPr>
      <w:pBdr>
        <w:bottom w:val="single" w:sz="6" w:space="7" w:color="EEEEEE"/>
      </w:pBdr>
      <w:spacing w:before="100" w:beforeAutospacing="1" w:after="0"/>
      <w:jc w:val="center"/>
    </w:pPr>
    <w:rPr>
      <w:b/>
      <w:bCs/>
      <w:i w:val="0"/>
      <w:sz w:val="54"/>
      <w:szCs w:val="54"/>
    </w:rPr>
  </w:style>
  <w:style w:type="character" w:customStyle="1" w:styleId="TitleChar">
    <w:name w:val="Title Char"/>
    <w:basedOn w:val="DefaultParagraphFont"/>
    <w:link w:val="Title"/>
    <w:uiPriority w:val="10"/>
    <w:rsid w:val="00E36AB0"/>
    <w:rPr>
      <w:rFonts w:eastAsiaTheme="majorEastAsia" w:cs="Helvetica"/>
      <w:b/>
      <w:bCs/>
      <w:iCs/>
      <w:color w:val="004482"/>
      <w:sz w:val="54"/>
      <w:szCs w:val="54"/>
      <w:shd w:val="clear" w:color="auto" w:fill="FFFFFF"/>
    </w:rPr>
  </w:style>
  <w:style w:type="paragraph" w:styleId="CommentSubject">
    <w:name w:val="annotation subject"/>
    <w:basedOn w:val="CommentText"/>
    <w:next w:val="CommentText"/>
    <w:link w:val="CommentSubjectChar"/>
    <w:uiPriority w:val="99"/>
    <w:semiHidden/>
    <w:unhideWhenUsed/>
    <w:rsid w:val="00147FBC"/>
    <w:rPr>
      <w:b/>
      <w:bCs/>
    </w:rPr>
  </w:style>
  <w:style w:type="character" w:customStyle="1" w:styleId="CommentSubjectChar">
    <w:name w:val="Comment Subject Char"/>
    <w:basedOn w:val="CommentTextChar"/>
    <w:link w:val="CommentSubject"/>
    <w:uiPriority w:val="99"/>
    <w:semiHidden/>
    <w:rsid w:val="00147FBC"/>
    <w:rPr>
      <w:b/>
      <w:bCs/>
      <w:sz w:val="20"/>
      <w:szCs w:val="20"/>
    </w:rPr>
  </w:style>
  <w:style w:type="table" w:customStyle="1" w:styleId="GridTable5Dark-Accent61">
    <w:name w:val="Grid Table 5 Dark - Accent 61"/>
    <w:basedOn w:val="TableNormal"/>
    <w:uiPriority w:val="50"/>
    <w:rsid w:val="00C004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11">
    <w:name w:val="Grid Table 5 Dark - Accent 11"/>
    <w:basedOn w:val="TableNormal"/>
    <w:uiPriority w:val="50"/>
    <w:rsid w:val="00C004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8A00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0066"/>
  </w:style>
  <w:style w:type="paragraph" w:styleId="Footer">
    <w:name w:val="footer"/>
    <w:basedOn w:val="Normal"/>
    <w:link w:val="FooterChar"/>
    <w:uiPriority w:val="99"/>
    <w:unhideWhenUsed/>
    <w:rsid w:val="008A00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0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967404">
      <w:bodyDiv w:val="1"/>
      <w:marLeft w:val="0"/>
      <w:marRight w:val="0"/>
      <w:marTop w:val="0"/>
      <w:marBottom w:val="0"/>
      <w:divBdr>
        <w:top w:val="none" w:sz="0" w:space="0" w:color="auto"/>
        <w:left w:val="none" w:sz="0" w:space="0" w:color="auto"/>
        <w:bottom w:val="none" w:sz="0" w:space="0" w:color="auto"/>
        <w:right w:val="none" w:sz="0" w:space="0" w:color="auto"/>
      </w:divBdr>
    </w:div>
    <w:div w:id="943000630">
      <w:bodyDiv w:val="1"/>
      <w:marLeft w:val="0"/>
      <w:marRight w:val="0"/>
      <w:marTop w:val="0"/>
      <w:marBottom w:val="0"/>
      <w:divBdr>
        <w:top w:val="none" w:sz="0" w:space="0" w:color="auto"/>
        <w:left w:val="none" w:sz="0" w:space="0" w:color="auto"/>
        <w:bottom w:val="none" w:sz="0" w:space="0" w:color="auto"/>
        <w:right w:val="none" w:sz="0" w:space="0" w:color="auto"/>
      </w:divBdr>
    </w:div>
    <w:div w:id="153245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555</Words>
  <Characters>3167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See faq’s at www.wintac.org for more informAtion</vt:lpstr>
    </vt:vector>
  </TitlesOfParts>
  <Company>Windows User</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 faq’s at www.wintac.org for more informAtion</dc:title>
  <dc:subject/>
  <dc:creator>Rachel Anderson</dc:creator>
  <cp:keywords/>
  <dc:description/>
  <cp:lastModifiedBy>Rachel Anderson</cp:lastModifiedBy>
  <cp:revision>2</cp:revision>
  <dcterms:created xsi:type="dcterms:W3CDTF">2019-04-01T20:14:00Z</dcterms:created>
  <dcterms:modified xsi:type="dcterms:W3CDTF">2019-04-01T20:14:00Z</dcterms:modified>
</cp:coreProperties>
</file>